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85A94" w14:textId="77777777" w:rsidR="00B86AB1" w:rsidRDefault="00B86AB1" w:rsidP="00B86AB1">
      <w:pPr>
        <w:rPr>
          <w:rFonts w:ascii="Times New Roman" w:eastAsia="Times New Roman" w:hAnsi="Times New Roman" w:cs="Times New Roman"/>
          <w:b/>
          <w:bCs/>
          <w:kern w:val="0"/>
          <w:sz w:val="36"/>
          <w:szCs w:val="36"/>
          <w14:ligatures w14:val="none"/>
        </w:rPr>
      </w:pPr>
    </w:p>
    <w:p w14:paraId="6C1D0963" w14:textId="77777777" w:rsidR="00FE07EF" w:rsidRDefault="00FE07EF" w:rsidP="00B86AB1">
      <w:pPr>
        <w:rPr>
          <w:rFonts w:ascii="Times New Roman" w:eastAsia="Times New Roman" w:hAnsi="Times New Roman" w:cs="Times New Roman"/>
          <w:b/>
          <w:bCs/>
          <w:kern w:val="0"/>
          <w:sz w:val="36"/>
          <w:szCs w:val="36"/>
          <w14:ligatures w14:val="none"/>
        </w:rPr>
      </w:pPr>
    </w:p>
    <w:p w14:paraId="7E34177B" w14:textId="77777777" w:rsidR="00B86AB1" w:rsidRDefault="00B86AB1" w:rsidP="00B86AB1">
      <w:pPr>
        <w:jc w:val="center"/>
        <w:rPr>
          <w:rFonts w:ascii="Times New Roman" w:eastAsia="Times New Roman" w:hAnsi="Times New Roman" w:cs="Times New Roman"/>
          <w:b/>
          <w:bCs/>
          <w:kern w:val="0"/>
          <w:sz w:val="36"/>
          <w:szCs w:val="36"/>
          <w14:ligatures w14:val="none"/>
        </w:rPr>
      </w:pPr>
    </w:p>
    <w:p w14:paraId="52F7706C" w14:textId="77777777" w:rsidR="00B86AB1" w:rsidRDefault="00B86AB1" w:rsidP="00B86AB1">
      <w:pPr>
        <w:jc w:val="center"/>
        <w:rPr>
          <w:rFonts w:ascii="Times New Roman" w:eastAsia="Times New Roman" w:hAnsi="Times New Roman" w:cs="Times New Roman"/>
          <w:b/>
          <w:bCs/>
          <w:kern w:val="0"/>
          <w:sz w:val="36"/>
          <w:szCs w:val="36"/>
          <w14:ligatures w14:val="none"/>
        </w:rPr>
      </w:pPr>
    </w:p>
    <w:p w14:paraId="4CBD12FF" w14:textId="77777777" w:rsidR="00B86AB1" w:rsidRDefault="00B86AB1" w:rsidP="00166180">
      <w:pPr>
        <w:rPr>
          <w:rFonts w:ascii="Times New Roman" w:eastAsia="Times New Roman" w:hAnsi="Times New Roman" w:cs="Times New Roman"/>
          <w:b/>
          <w:bCs/>
          <w:kern w:val="0"/>
          <w:sz w:val="36"/>
          <w:szCs w:val="36"/>
          <w14:ligatures w14:val="none"/>
        </w:rPr>
      </w:pPr>
    </w:p>
    <w:p w14:paraId="5475DB40" w14:textId="2FCDB4EC" w:rsidR="00B86AB1" w:rsidRDefault="00B86AB1" w:rsidP="00B86AB1">
      <w:pPr>
        <w:jc w:val="cente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Copyright and AI: The Building Blocks</w:t>
      </w:r>
    </w:p>
    <w:p w14:paraId="1E663343" w14:textId="752ABB49" w:rsidR="00166180" w:rsidRDefault="00166180" w:rsidP="00166180">
      <w:pPr>
        <w:rPr>
          <w:rFonts w:ascii="Times New Roman" w:eastAsia="Times New Roman" w:hAnsi="Times New Roman" w:cs="Times New Roman"/>
          <w:b/>
          <w:bCs/>
          <w:kern w:val="0"/>
          <w14:ligatures w14:val="none"/>
        </w:rPr>
      </w:pPr>
    </w:p>
    <w:p w14:paraId="035FD922" w14:textId="77777777" w:rsidR="00166180" w:rsidRDefault="00166180" w:rsidP="00166180">
      <w:pPr>
        <w:rPr>
          <w:rFonts w:ascii="Times New Roman" w:eastAsia="Times New Roman" w:hAnsi="Times New Roman" w:cs="Times New Roman"/>
          <w:b/>
          <w:bCs/>
          <w:kern w:val="0"/>
          <w14:ligatures w14:val="none"/>
        </w:rPr>
      </w:pPr>
    </w:p>
    <w:p w14:paraId="313F5927" w14:textId="4D664003" w:rsidR="00166180" w:rsidRDefault="00166180" w:rsidP="00B86AB1">
      <w:pPr>
        <w:jc w:val="center"/>
        <w:rPr>
          <w:rFonts w:ascii="Times New Roman" w:eastAsia="Times New Roman" w:hAnsi="Times New Roman" w:cs="Times New Roman"/>
          <w:b/>
          <w:bCs/>
          <w:kern w:val="0"/>
          <w14:ligatures w14:val="none"/>
        </w:rPr>
      </w:pPr>
    </w:p>
    <w:p w14:paraId="401D2091" w14:textId="0F199956" w:rsidR="00B86AB1" w:rsidRDefault="00B86AB1" w:rsidP="00B86AB1">
      <w:pPr>
        <w:jc w:val="center"/>
        <w:rPr>
          <w:rFonts w:ascii="Times New Roman" w:eastAsia="Times New Roman" w:hAnsi="Times New Roman" w:cs="Times New Roman"/>
          <w:b/>
          <w:bCs/>
          <w:kern w:val="0"/>
          <w14:ligatures w14:val="none"/>
        </w:rPr>
      </w:pPr>
    </w:p>
    <w:p w14:paraId="641C439E" w14:textId="77777777" w:rsidR="00166180" w:rsidRDefault="00166180" w:rsidP="00B86AB1">
      <w:pPr>
        <w:jc w:val="center"/>
        <w:rPr>
          <w:rFonts w:ascii="Times New Roman" w:eastAsia="Times New Roman" w:hAnsi="Times New Roman" w:cs="Times New Roman"/>
          <w:b/>
          <w:bCs/>
          <w:kern w:val="0"/>
          <w14:ligatures w14:val="none"/>
        </w:rPr>
      </w:pPr>
    </w:p>
    <w:p w14:paraId="266E85CF" w14:textId="77777777" w:rsidR="006C6631" w:rsidRDefault="00166180" w:rsidP="00B86AB1">
      <w:pPr>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b</w:t>
      </w:r>
      <w:r w:rsidR="00B86AB1" w:rsidRPr="00B86AB1">
        <w:rPr>
          <w:rFonts w:ascii="Times New Roman" w:eastAsia="Times New Roman" w:hAnsi="Times New Roman" w:cs="Times New Roman"/>
          <w:b/>
          <w:bCs/>
          <w:kern w:val="0"/>
          <w:sz w:val="28"/>
          <w:szCs w:val="28"/>
          <w14:ligatures w14:val="none"/>
        </w:rPr>
        <w:t>y Jordan “Jody” M. Blanke</w:t>
      </w:r>
      <w:r w:rsidR="00B86AB1">
        <w:rPr>
          <w:rFonts w:ascii="Times New Roman" w:eastAsia="Times New Roman" w:hAnsi="Times New Roman" w:cs="Times New Roman"/>
          <w:b/>
          <w:bCs/>
          <w:kern w:val="0"/>
          <w:sz w:val="28"/>
          <w:szCs w:val="28"/>
          <w14:ligatures w14:val="none"/>
        </w:rPr>
        <w:t>*</w:t>
      </w:r>
    </w:p>
    <w:p w14:paraId="7B74B3CC"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11A60EC0"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05DF20BD"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475CB67F"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77D6EEA6"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115CC88D"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6ECA68B3"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60C1CFBC" w14:textId="77777777" w:rsidR="006C6631" w:rsidRDefault="006C6631" w:rsidP="00B86AB1">
      <w:pPr>
        <w:jc w:val="center"/>
        <w:rPr>
          <w:rFonts w:ascii="Times New Roman" w:eastAsia="Times New Roman" w:hAnsi="Times New Roman" w:cs="Times New Roman"/>
          <w:b/>
          <w:bCs/>
          <w:kern w:val="0"/>
          <w:sz w:val="28"/>
          <w:szCs w:val="28"/>
          <w14:ligatures w14:val="none"/>
        </w:rPr>
      </w:pPr>
    </w:p>
    <w:p w14:paraId="0209D372" w14:textId="661F7B15" w:rsidR="00B86AB1" w:rsidRPr="00B86AB1" w:rsidRDefault="00B86AB1" w:rsidP="00B86AB1">
      <w:pPr>
        <w:jc w:val="center"/>
        <w:rPr>
          <w:rFonts w:ascii="Times New Roman" w:hAnsi="Times New Roman" w:cs="Times New Roman"/>
          <w:b/>
          <w:sz w:val="36"/>
          <w:szCs w:val="36"/>
        </w:rPr>
      </w:pPr>
      <w:r>
        <w:rPr>
          <w:rFonts w:ascii="Times New Roman" w:eastAsia="Times New Roman" w:hAnsi="Times New Roman" w:cs="Times New Roman"/>
          <w:b/>
          <w:bCs/>
          <w:kern w:val="0"/>
          <w:sz w:val="36"/>
          <w:szCs w:val="36"/>
          <w14:ligatures w14:val="none"/>
        </w:rPr>
        <w:br w:type="page"/>
      </w:r>
      <w:r w:rsidRPr="00B86AB1">
        <w:rPr>
          <w:rFonts w:ascii="Times New Roman" w:hAnsi="Times New Roman" w:cs="Times New Roman"/>
          <w:b/>
          <w:sz w:val="36"/>
          <w:szCs w:val="36"/>
        </w:rPr>
        <w:lastRenderedPageBreak/>
        <w:t>Abstract</w:t>
      </w:r>
    </w:p>
    <w:p w14:paraId="4E015E22" w14:textId="77777777" w:rsidR="00B86AB1" w:rsidRPr="00B86AB1" w:rsidRDefault="00B86AB1" w:rsidP="00B86AB1">
      <w:pPr>
        <w:jc w:val="center"/>
        <w:rPr>
          <w:rFonts w:ascii="Times New Roman" w:hAnsi="Times New Roman" w:cs="Times New Roman"/>
          <w:u w:val="single"/>
        </w:rPr>
      </w:pPr>
    </w:p>
    <w:p w14:paraId="25850E28" w14:textId="1A9F67AF" w:rsidR="00B86AB1" w:rsidRDefault="00B86AB1" w:rsidP="00B86AB1">
      <w:pPr>
        <w:rPr>
          <w:rFonts w:ascii="Times New Roman" w:hAnsi="Times New Roman" w:cs="Times New Roman"/>
        </w:rPr>
      </w:pPr>
      <w:r w:rsidRPr="00B86AB1">
        <w:rPr>
          <w:rFonts w:ascii="Times New Roman" w:hAnsi="Times New Roman" w:cs="Times New Roman"/>
        </w:rPr>
        <w:t xml:space="preserve">The rapid development of artificial intelligence has revived many of the oldest and most enduring questions in copyright law. Courts now confront whether AI systems infringe by training on copyrighted works, </w:t>
      </w:r>
      <w:r w:rsidR="0046487E">
        <w:rPr>
          <w:rFonts w:ascii="Times New Roman" w:hAnsi="Times New Roman" w:cs="Times New Roman"/>
        </w:rPr>
        <w:t xml:space="preserve">whether AI-generated output may infringe existing copyrights, </w:t>
      </w:r>
      <w:r w:rsidRPr="00B86AB1">
        <w:rPr>
          <w:rFonts w:ascii="Times New Roman" w:hAnsi="Times New Roman" w:cs="Times New Roman"/>
        </w:rPr>
        <w:t xml:space="preserve">whether AI-generated output can qualify for protection, and how traditional doctrines—such as originality, fair use, and authorship—apply when human creativity is mediated by machines. This Article argues that these disputes are best understood through the foundational “building blocks” of copyright law. Longstanding precedents—from </w:t>
      </w:r>
      <w:r w:rsidRPr="00B86AB1">
        <w:rPr>
          <w:rFonts w:ascii="Times New Roman" w:hAnsi="Times New Roman" w:cs="Times New Roman"/>
          <w:i/>
          <w:iCs/>
        </w:rPr>
        <w:t>Baker v. Selden</w:t>
      </w:r>
      <w:r w:rsidRPr="00B86AB1">
        <w:rPr>
          <w:rFonts w:ascii="Times New Roman" w:hAnsi="Times New Roman" w:cs="Times New Roman"/>
        </w:rPr>
        <w:t xml:space="preserve"> and </w:t>
      </w:r>
      <w:r w:rsidRPr="00B86AB1">
        <w:rPr>
          <w:rFonts w:ascii="Times New Roman" w:hAnsi="Times New Roman" w:cs="Times New Roman"/>
          <w:i/>
          <w:iCs/>
        </w:rPr>
        <w:t>Feist Publications v. Rural Telephone</w:t>
      </w:r>
      <w:r w:rsidRPr="00B86AB1">
        <w:rPr>
          <w:rFonts w:ascii="Times New Roman" w:hAnsi="Times New Roman" w:cs="Times New Roman"/>
        </w:rPr>
        <w:t xml:space="preserve"> to </w:t>
      </w:r>
      <w:r w:rsidRPr="00B86AB1">
        <w:rPr>
          <w:rFonts w:ascii="Times New Roman" w:hAnsi="Times New Roman" w:cs="Times New Roman"/>
          <w:i/>
          <w:iCs/>
        </w:rPr>
        <w:t xml:space="preserve">Campbell v. Acuff-Rose </w:t>
      </w:r>
      <w:r w:rsidRPr="00B86AB1">
        <w:rPr>
          <w:rFonts w:ascii="Times New Roman" w:hAnsi="Times New Roman" w:cs="Times New Roman"/>
        </w:rPr>
        <w:t xml:space="preserve">and </w:t>
      </w:r>
      <w:r w:rsidRPr="006C6631">
        <w:rPr>
          <w:rFonts w:ascii="Times New Roman" w:hAnsi="Times New Roman" w:cs="Times New Roman"/>
          <w:i/>
          <w:iCs/>
        </w:rPr>
        <w:t>Warhol v. Goldsmith</w:t>
      </w:r>
      <w:r w:rsidRPr="00B86AB1">
        <w:rPr>
          <w:rFonts w:ascii="Times New Roman" w:hAnsi="Times New Roman" w:cs="Times New Roman"/>
        </w:rPr>
        <w:t>—already provide analytical tools necessary to address today’s challenges. By tracing the evolution of core concepts such as idea and expression, facts and originality, human authorship, substantial similarity, and transformative use, this Article demonstrates that the law of copyright has always evolved around and beside technology</w:t>
      </w:r>
      <w:r w:rsidR="0046487E">
        <w:rPr>
          <w:rFonts w:ascii="Times New Roman" w:hAnsi="Times New Roman" w:cs="Times New Roman"/>
        </w:rPr>
        <w:t>, and will continue to do so, likely shaping new building blocks for the future</w:t>
      </w:r>
      <w:r w:rsidRPr="00B86AB1">
        <w:rPr>
          <w:rFonts w:ascii="Times New Roman" w:hAnsi="Times New Roman" w:cs="Times New Roman"/>
        </w:rPr>
        <w:t>. Far from demanding an overhaul of doctrine, artificial intelligence invites a renewed appreciation for copyright’s resilience and its continuing capacity to balance incentive, creativity, and public access, and to “promote the progress of science and the useful arts” in the digital age.</w:t>
      </w:r>
    </w:p>
    <w:p w14:paraId="0A62D1E5" w14:textId="77777777" w:rsidR="007C7960" w:rsidRPr="00B86AB1" w:rsidRDefault="007C7960" w:rsidP="00B86AB1">
      <w:pPr>
        <w:rPr>
          <w:rFonts w:ascii="Times New Roman" w:hAnsi="Times New Roman" w:cs="Times New Roman"/>
        </w:rPr>
      </w:pPr>
    </w:p>
    <w:p w14:paraId="29CFE8A9" w14:textId="61DBAD1B" w:rsidR="00B86AB1" w:rsidRPr="007C7960" w:rsidRDefault="007C7960">
      <w:pPr>
        <w:rPr>
          <w:rFonts w:ascii="Times New Roman" w:eastAsia="Times New Roman" w:hAnsi="Times New Roman" w:cs="Times New Roman"/>
          <w:kern w:val="0"/>
          <w14:ligatures w14:val="none"/>
        </w:rPr>
      </w:pPr>
      <w:r w:rsidRPr="007C7960">
        <w:rPr>
          <w:rFonts w:ascii="Times New Roman" w:eastAsia="Times New Roman" w:hAnsi="Times New Roman" w:cs="Times New Roman"/>
          <w:kern w:val="0"/>
          <w14:ligatures w14:val="none"/>
        </w:rPr>
        <w:t>Keywords:</w:t>
      </w:r>
      <w:r>
        <w:rPr>
          <w:rFonts w:ascii="Times New Roman" w:eastAsia="Times New Roman" w:hAnsi="Times New Roman" w:cs="Times New Roman"/>
          <w:kern w:val="0"/>
          <w14:ligatures w14:val="none"/>
        </w:rPr>
        <w:t xml:space="preserve"> copyright; artificial intelligence; idea-expression dichotomy; substantial similarity; </w:t>
      </w:r>
      <w:r w:rsidR="0046487E">
        <w:rPr>
          <w:rFonts w:ascii="Times New Roman" w:eastAsia="Times New Roman" w:hAnsi="Times New Roman" w:cs="Times New Roman"/>
          <w:kern w:val="0"/>
          <w14:ligatures w14:val="none"/>
        </w:rPr>
        <w:t xml:space="preserve">fair use; </w:t>
      </w:r>
      <w:r>
        <w:rPr>
          <w:rFonts w:ascii="Times New Roman" w:eastAsia="Times New Roman" w:hAnsi="Times New Roman" w:cs="Times New Roman"/>
          <w:kern w:val="0"/>
          <w14:ligatures w14:val="none"/>
        </w:rPr>
        <w:t>transformative use; right of publicity, generative ai; ai training.</w:t>
      </w:r>
    </w:p>
    <w:p w14:paraId="75362AA4" w14:textId="77777777" w:rsidR="004662B5" w:rsidRDefault="004662B5">
      <w:pPr>
        <w:rPr>
          <w:rFonts w:ascii="Times New Roman" w:eastAsia="Times New Roman" w:hAnsi="Times New Roman" w:cs="Times New Roman"/>
          <w:bCs/>
          <w:kern w:val="0"/>
          <w14:ligatures w14:val="none"/>
        </w:rPr>
      </w:pPr>
    </w:p>
    <w:p w14:paraId="029C67D7" w14:textId="6E2A772B" w:rsidR="00B86AB1" w:rsidRPr="004662B5" w:rsidRDefault="004662B5">
      <w:pPr>
        <w:rPr>
          <w:rFonts w:ascii="Times New Roman" w:eastAsia="Times New Roman" w:hAnsi="Times New Roman" w:cs="Times New Roman"/>
          <w:bCs/>
          <w:kern w:val="0"/>
          <w14:ligatures w14:val="none"/>
        </w:rPr>
      </w:pPr>
      <w:r w:rsidRPr="004662B5">
        <w:rPr>
          <w:rFonts w:ascii="Times New Roman" w:eastAsia="Times New Roman" w:hAnsi="Times New Roman" w:cs="Times New Roman"/>
          <w:bCs/>
          <w:kern w:val="0"/>
          <w14:ligatures w14:val="none"/>
        </w:rPr>
        <w:t xml:space="preserve">Wordcount of </w:t>
      </w:r>
      <w:r w:rsidR="00A67C65">
        <w:rPr>
          <w:rFonts w:ascii="Times New Roman" w:eastAsia="Times New Roman" w:hAnsi="Times New Roman" w:cs="Times New Roman"/>
          <w:bCs/>
          <w:kern w:val="0"/>
          <w14:ligatures w14:val="none"/>
        </w:rPr>
        <w:t>text</w:t>
      </w:r>
      <w:r>
        <w:rPr>
          <w:rFonts w:ascii="Times New Roman" w:eastAsia="Times New Roman" w:hAnsi="Times New Roman" w:cs="Times New Roman"/>
          <w:bCs/>
          <w:kern w:val="0"/>
          <w14:ligatures w14:val="none"/>
        </w:rPr>
        <w:t>: 2</w:t>
      </w:r>
      <w:r w:rsidR="00A67C65">
        <w:rPr>
          <w:rFonts w:ascii="Times New Roman" w:eastAsia="Times New Roman" w:hAnsi="Times New Roman" w:cs="Times New Roman"/>
          <w:bCs/>
          <w:kern w:val="0"/>
          <w14:ligatures w14:val="none"/>
        </w:rPr>
        <w:t>2</w:t>
      </w:r>
      <w:r>
        <w:rPr>
          <w:rFonts w:ascii="Times New Roman" w:eastAsia="Times New Roman" w:hAnsi="Times New Roman" w:cs="Times New Roman"/>
          <w:bCs/>
          <w:kern w:val="0"/>
          <w14:ligatures w14:val="none"/>
        </w:rPr>
        <w:t>,</w:t>
      </w:r>
      <w:r w:rsidR="00A67C65">
        <w:rPr>
          <w:rFonts w:ascii="Times New Roman" w:eastAsia="Times New Roman" w:hAnsi="Times New Roman" w:cs="Times New Roman"/>
          <w:bCs/>
          <w:kern w:val="0"/>
          <w14:ligatures w14:val="none"/>
        </w:rPr>
        <w:t>96</w:t>
      </w:r>
      <w:r>
        <w:rPr>
          <w:rFonts w:ascii="Times New Roman" w:eastAsia="Times New Roman" w:hAnsi="Times New Roman" w:cs="Times New Roman"/>
          <w:bCs/>
          <w:kern w:val="0"/>
          <w14:ligatures w14:val="none"/>
        </w:rPr>
        <w:t>0</w:t>
      </w:r>
      <w:r w:rsidR="00A67C65">
        <w:rPr>
          <w:rFonts w:ascii="Times New Roman" w:eastAsia="Times New Roman" w:hAnsi="Times New Roman" w:cs="Times New Roman"/>
          <w:bCs/>
          <w:kern w:val="0"/>
          <w14:ligatures w14:val="none"/>
        </w:rPr>
        <w:br/>
        <w:t>Wordcount of footnotes: 7,063</w:t>
      </w:r>
      <w:bookmarkStart w:id="0" w:name="_GoBack"/>
      <w:bookmarkEnd w:id="0"/>
      <w:r w:rsidR="00B86AB1" w:rsidRPr="004662B5">
        <w:rPr>
          <w:rFonts w:ascii="Times New Roman" w:eastAsia="Times New Roman" w:hAnsi="Times New Roman" w:cs="Times New Roman"/>
          <w:bCs/>
          <w:kern w:val="0"/>
          <w14:ligatures w14:val="none"/>
        </w:rPr>
        <w:br w:type="page"/>
      </w:r>
    </w:p>
    <w:p w14:paraId="29519BBE" w14:textId="40339E82" w:rsidR="001D58EA" w:rsidRDefault="001D58EA" w:rsidP="001D58EA">
      <w:pPr>
        <w:jc w:val="cente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lastRenderedPageBreak/>
        <w:t>Table of Contents</w:t>
      </w:r>
    </w:p>
    <w:sdt>
      <w:sdtPr>
        <w:rPr>
          <w:rFonts w:asciiTheme="minorHAnsi" w:eastAsiaTheme="minorHAnsi" w:hAnsiTheme="minorHAnsi" w:cstheme="minorBidi"/>
          <w:color w:val="auto"/>
          <w:kern w:val="2"/>
          <w:sz w:val="24"/>
          <w:szCs w:val="24"/>
          <w14:ligatures w14:val="standardContextual"/>
        </w:rPr>
        <w:id w:val="-1962177260"/>
        <w:docPartObj>
          <w:docPartGallery w:val="Table of Contents"/>
          <w:docPartUnique/>
        </w:docPartObj>
      </w:sdtPr>
      <w:sdtEndPr>
        <w:rPr>
          <w:b/>
          <w:bCs/>
          <w:noProof/>
        </w:rPr>
      </w:sdtEndPr>
      <w:sdtContent>
        <w:p w14:paraId="14C4BBCC" w14:textId="1DF41B01" w:rsidR="00884D26" w:rsidRDefault="00AD4760">
          <w:pPr>
            <w:pStyle w:val="TOCHeading"/>
          </w:pPr>
          <w:r>
            <w:t xml:space="preserve"> </w:t>
          </w:r>
        </w:p>
        <w:p w14:paraId="38BCB6ED" w14:textId="77777777" w:rsidR="00243761" w:rsidRPr="00243761" w:rsidRDefault="00243761" w:rsidP="00243761"/>
        <w:p w14:paraId="726AE0ED" w14:textId="647B2F3C" w:rsidR="009A6258" w:rsidRDefault="00884D26">
          <w:pPr>
            <w:pStyle w:val="TOC2"/>
            <w:tabs>
              <w:tab w:val="right" w:leader="dot" w:pos="9350"/>
            </w:tabs>
            <w:rPr>
              <w:rFonts w:eastAsiaTheme="minorEastAsia"/>
              <w:noProof/>
              <w:kern w:val="0"/>
              <w:sz w:val="22"/>
              <w:szCs w:val="22"/>
              <w14:ligatures w14:val="none"/>
            </w:rPr>
          </w:pPr>
          <w:r>
            <w:rPr>
              <w:rFonts w:ascii="Times New Roman" w:eastAsia="Times New Roman" w:hAnsi="Times New Roman" w:cs="Times New Roman"/>
              <w:b/>
              <w:bCs/>
              <w:kern w:val="0"/>
              <w:sz w:val="27"/>
              <w:szCs w:val="27"/>
              <w14:ligatures w14:val="none"/>
            </w:rPr>
            <w:fldChar w:fldCharType="begin"/>
          </w:r>
          <w:r w:rsidRPr="00481785">
            <w:rPr>
              <w:rFonts w:ascii="Times New Roman" w:eastAsia="Times New Roman" w:hAnsi="Times New Roman" w:cs="Times New Roman"/>
              <w:b/>
              <w:bCs/>
              <w:kern w:val="0"/>
              <w:sz w:val="27"/>
              <w:szCs w:val="27"/>
              <w14:ligatures w14:val="none"/>
            </w:rPr>
            <w:instrText xml:space="preserve"> TOC \o "1-4" \h \z \u </w:instrText>
          </w:r>
          <w:r>
            <w:rPr>
              <w:rFonts w:ascii="Times New Roman" w:eastAsia="Times New Roman" w:hAnsi="Times New Roman" w:cs="Times New Roman"/>
              <w:b/>
              <w:bCs/>
              <w:kern w:val="0"/>
              <w:sz w:val="27"/>
              <w:szCs w:val="27"/>
              <w14:ligatures w14:val="none"/>
            </w:rPr>
            <w:fldChar w:fldCharType="separate"/>
          </w:r>
          <w:hyperlink w:anchor="_Toc220693037" w:history="1">
            <w:r w:rsidR="009A6258" w:rsidRPr="000D0BCD">
              <w:rPr>
                <w:rStyle w:val="Hyperlink"/>
                <w:rFonts w:ascii="Times New Roman" w:eastAsia="Times New Roman" w:hAnsi="Times New Roman" w:cs="Times New Roman"/>
                <w:b/>
                <w:bCs/>
                <w:noProof/>
              </w:rPr>
              <w:t>PART I. THE IDEA–EXPRESSION DICHOTOMY</w:t>
            </w:r>
            <w:r w:rsidR="009A6258">
              <w:rPr>
                <w:noProof/>
                <w:webHidden/>
              </w:rPr>
              <w:tab/>
            </w:r>
            <w:r w:rsidR="009A6258">
              <w:rPr>
                <w:noProof/>
                <w:webHidden/>
              </w:rPr>
              <w:fldChar w:fldCharType="begin"/>
            </w:r>
            <w:r w:rsidR="009A6258">
              <w:rPr>
                <w:noProof/>
                <w:webHidden/>
              </w:rPr>
              <w:instrText xml:space="preserve"> PAGEREF _Toc220693037 \h </w:instrText>
            </w:r>
            <w:r w:rsidR="009A6258">
              <w:rPr>
                <w:noProof/>
                <w:webHidden/>
              </w:rPr>
            </w:r>
            <w:r w:rsidR="009A6258">
              <w:rPr>
                <w:noProof/>
                <w:webHidden/>
              </w:rPr>
              <w:fldChar w:fldCharType="separate"/>
            </w:r>
            <w:r w:rsidR="009A6258">
              <w:rPr>
                <w:noProof/>
                <w:webHidden/>
              </w:rPr>
              <w:t>7</w:t>
            </w:r>
            <w:r w:rsidR="009A6258">
              <w:rPr>
                <w:noProof/>
                <w:webHidden/>
              </w:rPr>
              <w:fldChar w:fldCharType="end"/>
            </w:r>
          </w:hyperlink>
        </w:p>
        <w:p w14:paraId="0943E4C1" w14:textId="5A66F95F" w:rsidR="009A6258" w:rsidRDefault="004B0AF1">
          <w:pPr>
            <w:pStyle w:val="TOC3"/>
            <w:tabs>
              <w:tab w:val="right" w:leader="dot" w:pos="9350"/>
            </w:tabs>
            <w:rPr>
              <w:rFonts w:eastAsiaTheme="minorEastAsia"/>
              <w:noProof/>
              <w:kern w:val="0"/>
              <w:sz w:val="22"/>
              <w:szCs w:val="22"/>
              <w14:ligatures w14:val="none"/>
            </w:rPr>
          </w:pPr>
          <w:hyperlink w:anchor="_Toc220693038" w:history="1">
            <w:r w:rsidR="009A6258" w:rsidRPr="000D0BCD">
              <w:rPr>
                <w:rStyle w:val="Hyperlink"/>
                <w:rFonts w:ascii="Times New Roman" w:eastAsia="Times New Roman" w:hAnsi="Times New Roman" w:cs="Times New Roman"/>
                <w:b/>
                <w:bCs/>
                <w:noProof/>
              </w:rPr>
              <w:t xml:space="preserve">A. Foundations in </w:t>
            </w:r>
            <w:r w:rsidR="009A6258" w:rsidRPr="000D0BCD">
              <w:rPr>
                <w:rStyle w:val="Hyperlink"/>
                <w:rFonts w:ascii="Times New Roman" w:eastAsia="Times New Roman" w:hAnsi="Times New Roman" w:cs="Times New Roman"/>
                <w:b/>
                <w:bCs/>
                <w:i/>
                <w:iCs/>
                <w:noProof/>
              </w:rPr>
              <w:t>Baker v. Selden</w:t>
            </w:r>
            <w:r w:rsidR="009A6258">
              <w:rPr>
                <w:noProof/>
                <w:webHidden/>
              </w:rPr>
              <w:tab/>
            </w:r>
            <w:r w:rsidR="009A6258">
              <w:rPr>
                <w:noProof/>
                <w:webHidden/>
              </w:rPr>
              <w:fldChar w:fldCharType="begin"/>
            </w:r>
            <w:r w:rsidR="009A6258">
              <w:rPr>
                <w:noProof/>
                <w:webHidden/>
              </w:rPr>
              <w:instrText xml:space="preserve"> PAGEREF _Toc220693038 \h </w:instrText>
            </w:r>
            <w:r w:rsidR="009A6258">
              <w:rPr>
                <w:noProof/>
                <w:webHidden/>
              </w:rPr>
            </w:r>
            <w:r w:rsidR="009A6258">
              <w:rPr>
                <w:noProof/>
                <w:webHidden/>
              </w:rPr>
              <w:fldChar w:fldCharType="separate"/>
            </w:r>
            <w:r w:rsidR="009A6258">
              <w:rPr>
                <w:noProof/>
                <w:webHidden/>
              </w:rPr>
              <w:t>7</w:t>
            </w:r>
            <w:r w:rsidR="009A6258">
              <w:rPr>
                <w:noProof/>
                <w:webHidden/>
              </w:rPr>
              <w:fldChar w:fldCharType="end"/>
            </w:r>
          </w:hyperlink>
        </w:p>
        <w:p w14:paraId="0CAB6EF2" w14:textId="46F7B798" w:rsidR="009A6258" w:rsidRDefault="004B0AF1">
          <w:pPr>
            <w:pStyle w:val="TOC3"/>
            <w:tabs>
              <w:tab w:val="right" w:leader="dot" w:pos="9350"/>
            </w:tabs>
            <w:rPr>
              <w:rFonts w:eastAsiaTheme="minorEastAsia"/>
              <w:noProof/>
              <w:kern w:val="0"/>
              <w:sz w:val="22"/>
              <w:szCs w:val="22"/>
              <w14:ligatures w14:val="none"/>
            </w:rPr>
          </w:pPr>
          <w:hyperlink w:anchor="_Toc220693039" w:history="1">
            <w:r w:rsidR="009A6258" w:rsidRPr="000D0BCD">
              <w:rPr>
                <w:rStyle w:val="Hyperlink"/>
                <w:rFonts w:ascii="Times New Roman" w:eastAsia="Times New Roman" w:hAnsi="Times New Roman" w:cs="Times New Roman"/>
                <w:b/>
                <w:bCs/>
                <w:noProof/>
              </w:rPr>
              <w:t>B. Thin Copyright and the Limits of Protection</w:t>
            </w:r>
            <w:r w:rsidR="009A6258">
              <w:rPr>
                <w:noProof/>
                <w:webHidden/>
              </w:rPr>
              <w:tab/>
            </w:r>
            <w:r w:rsidR="009A6258">
              <w:rPr>
                <w:noProof/>
                <w:webHidden/>
              </w:rPr>
              <w:fldChar w:fldCharType="begin"/>
            </w:r>
            <w:r w:rsidR="009A6258">
              <w:rPr>
                <w:noProof/>
                <w:webHidden/>
              </w:rPr>
              <w:instrText xml:space="preserve"> PAGEREF _Toc220693039 \h </w:instrText>
            </w:r>
            <w:r w:rsidR="009A6258">
              <w:rPr>
                <w:noProof/>
                <w:webHidden/>
              </w:rPr>
            </w:r>
            <w:r w:rsidR="009A6258">
              <w:rPr>
                <w:noProof/>
                <w:webHidden/>
              </w:rPr>
              <w:fldChar w:fldCharType="separate"/>
            </w:r>
            <w:r w:rsidR="009A6258">
              <w:rPr>
                <w:noProof/>
                <w:webHidden/>
              </w:rPr>
              <w:t>8</w:t>
            </w:r>
            <w:r w:rsidR="009A6258">
              <w:rPr>
                <w:noProof/>
                <w:webHidden/>
              </w:rPr>
              <w:fldChar w:fldCharType="end"/>
            </w:r>
          </w:hyperlink>
        </w:p>
        <w:p w14:paraId="27CC018C" w14:textId="241E9532" w:rsidR="009A6258" w:rsidRDefault="004B0AF1">
          <w:pPr>
            <w:pStyle w:val="TOC3"/>
            <w:tabs>
              <w:tab w:val="right" w:leader="dot" w:pos="9350"/>
            </w:tabs>
            <w:rPr>
              <w:rFonts w:eastAsiaTheme="minorEastAsia"/>
              <w:noProof/>
              <w:kern w:val="0"/>
              <w:sz w:val="22"/>
              <w:szCs w:val="22"/>
              <w14:ligatures w14:val="none"/>
            </w:rPr>
          </w:pPr>
          <w:hyperlink w:anchor="_Toc220693040" w:history="1">
            <w:r w:rsidR="009A6258" w:rsidRPr="000D0BCD">
              <w:rPr>
                <w:rStyle w:val="Hyperlink"/>
                <w:rFonts w:ascii="Times New Roman" w:eastAsia="Times New Roman" w:hAnsi="Times New Roman" w:cs="Times New Roman"/>
                <w:b/>
                <w:bCs/>
                <w:noProof/>
              </w:rPr>
              <w:t>C. Derivative Works</w:t>
            </w:r>
            <w:r w:rsidR="009A6258">
              <w:rPr>
                <w:noProof/>
                <w:webHidden/>
              </w:rPr>
              <w:tab/>
            </w:r>
            <w:r w:rsidR="009A6258">
              <w:rPr>
                <w:noProof/>
                <w:webHidden/>
              </w:rPr>
              <w:fldChar w:fldCharType="begin"/>
            </w:r>
            <w:r w:rsidR="009A6258">
              <w:rPr>
                <w:noProof/>
                <w:webHidden/>
              </w:rPr>
              <w:instrText xml:space="preserve"> PAGEREF _Toc220693040 \h </w:instrText>
            </w:r>
            <w:r w:rsidR="009A6258">
              <w:rPr>
                <w:noProof/>
                <w:webHidden/>
              </w:rPr>
            </w:r>
            <w:r w:rsidR="009A6258">
              <w:rPr>
                <w:noProof/>
                <w:webHidden/>
              </w:rPr>
              <w:fldChar w:fldCharType="separate"/>
            </w:r>
            <w:r w:rsidR="009A6258">
              <w:rPr>
                <w:noProof/>
                <w:webHidden/>
              </w:rPr>
              <w:t>8</w:t>
            </w:r>
            <w:r w:rsidR="009A6258">
              <w:rPr>
                <w:noProof/>
                <w:webHidden/>
              </w:rPr>
              <w:fldChar w:fldCharType="end"/>
            </w:r>
          </w:hyperlink>
        </w:p>
        <w:p w14:paraId="58642436" w14:textId="19512A05" w:rsidR="009A6258" w:rsidRDefault="004B0AF1">
          <w:pPr>
            <w:pStyle w:val="TOC2"/>
            <w:tabs>
              <w:tab w:val="right" w:leader="dot" w:pos="9350"/>
            </w:tabs>
            <w:rPr>
              <w:rFonts w:eastAsiaTheme="minorEastAsia"/>
              <w:noProof/>
              <w:kern w:val="0"/>
              <w:sz w:val="22"/>
              <w:szCs w:val="22"/>
              <w14:ligatures w14:val="none"/>
            </w:rPr>
          </w:pPr>
          <w:hyperlink w:anchor="_Toc220693041" w:history="1">
            <w:r w:rsidR="009A6258" w:rsidRPr="000D0BCD">
              <w:rPr>
                <w:rStyle w:val="Hyperlink"/>
                <w:rFonts w:ascii="Times New Roman" w:eastAsia="Times New Roman" w:hAnsi="Times New Roman" w:cs="Times New Roman"/>
                <w:b/>
                <w:bCs/>
                <w:noProof/>
              </w:rPr>
              <w:t xml:space="preserve">PART II. ORIGINALITY, COMPILATIONS, AND THE ENDURING LESSONS OF </w:t>
            </w:r>
            <w:r w:rsidR="009A6258" w:rsidRPr="000D0BCD">
              <w:rPr>
                <w:rStyle w:val="Hyperlink"/>
                <w:rFonts w:ascii="Times New Roman" w:eastAsia="Times New Roman" w:hAnsi="Times New Roman" w:cs="Times New Roman"/>
                <w:b/>
                <w:bCs/>
                <w:i/>
                <w:iCs/>
                <w:noProof/>
              </w:rPr>
              <w:t>FEIST</w:t>
            </w:r>
            <w:r w:rsidR="009A6258">
              <w:rPr>
                <w:noProof/>
                <w:webHidden/>
              </w:rPr>
              <w:tab/>
            </w:r>
            <w:r w:rsidR="009A6258">
              <w:rPr>
                <w:noProof/>
                <w:webHidden/>
              </w:rPr>
              <w:fldChar w:fldCharType="begin"/>
            </w:r>
            <w:r w:rsidR="009A6258">
              <w:rPr>
                <w:noProof/>
                <w:webHidden/>
              </w:rPr>
              <w:instrText xml:space="preserve"> PAGEREF _Toc220693041 \h </w:instrText>
            </w:r>
            <w:r w:rsidR="009A6258">
              <w:rPr>
                <w:noProof/>
                <w:webHidden/>
              </w:rPr>
            </w:r>
            <w:r w:rsidR="009A6258">
              <w:rPr>
                <w:noProof/>
                <w:webHidden/>
              </w:rPr>
              <w:fldChar w:fldCharType="separate"/>
            </w:r>
            <w:r w:rsidR="009A6258">
              <w:rPr>
                <w:noProof/>
                <w:webHidden/>
              </w:rPr>
              <w:t>9</w:t>
            </w:r>
            <w:r w:rsidR="009A6258">
              <w:rPr>
                <w:noProof/>
                <w:webHidden/>
              </w:rPr>
              <w:fldChar w:fldCharType="end"/>
            </w:r>
          </w:hyperlink>
        </w:p>
        <w:p w14:paraId="14CE08FB" w14:textId="6B037632" w:rsidR="009A6258" w:rsidRDefault="004B0AF1">
          <w:pPr>
            <w:pStyle w:val="TOC3"/>
            <w:tabs>
              <w:tab w:val="right" w:leader="dot" w:pos="9350"/>
            </w:tabs>
            <w:rPr>
              <w:rFonts w:eastAsiaTheme="minorEastAsia"/>
              <w:noProof/>
              <w:kern w:val="0"/>
              <w:sz w:val="22"/>
              <w:szCs w:val="22"/>
              <w14:ligatures w14:val="none"/>
            </w:rPr>
          </w:pPr>
          <w:hyperlink w:anchor="_Toc220693042" w:history="1">
            <w:r w:rsidR="009A6258" w:rsidRPr="000D0BCD">
              <w:rPr>
                <w:rStyle w:val="Hyperlink"/>
                <w:rFonts w:ascii="Times New Roman" w:eastAsia="Times New Roman" w:hAnsi="Times New Roman" w:cs="Times New Roman"/>
                <w:b/>
                <w:bCs/>
                <w:noProof/>
              </w:rPr>
              <w:t>A. The Rejection of “Sweat of the Brow”</w:t>
            </w:r>
            <w:r w:rsidR="009A6258">
              <w:rPr>
                <w:noProof/>
                <w:webHidden/>
              </w:rPr>
              <w:tab/>
            </w:r>
            <w:r w:rsidR="009A6258">
              <w:rPr>
                <w:noProof/>
                <w:webHidden/>
              </w:rPr>
              <w:fldChar w:fldCharType="begin"/>
            </w:r>
            <w:r w:rsidR="009A6258">
              <w:rPr>
                <w:noProof/>
                <w:webHidden/>
              </w:rPr>
              <w:instrText xml:space="preserve"> PAGEREF _Toc220693042 \h </w:instrText>
            </w:r>
            <w:r w:rsidR="009A6258">
              <w:rPr>
                <w:noProof/>
                <w:webHidden/>
              </w:rPr>
            </w:r>
            <w:r w:rsidR="009A6258">
              <w:rPr>
                <w:noProof/>
                <w:webHidden/>
              </w:rPr>
              <w:fldChar w:fldCharType="separate"/>
            </w:r>
            <w:r w:rsidR="009A6258">
              <w:rPr>
                <w:noProof/>
                <w:webHidden/>
              </w:rPr>
              <w:t>9</w:t>
            </w:r>
            <w:r w:rsidR="009A6258">
              <w:rPr>
                <w:noProof/>
                <w:webHidden/>
              </w:rPr>
              <w:fldChar w:fldCharType="end"/>
            </w:r>
          </w:hyperlink>
        </w:p>
        <w:p w14:paraId="3F3B4519" w14:textId="740FC88E" w:rsidR="009A6258" w:rsidRDefault="004B0AF1">
          <w:pPr>
            <w:pStyle w:val="TOC3"/>
            <w:tabs>
              <w:tab w:val="right" w:leader="dot" w:pos="9350"/>
            </w:tabs>
            <w:rPr>
              <w:rFonts w:eastAsiaTheme="minorEastAsia"/>
              <w:noProof/>
              <w:kern w:val="0"/>
              <w:sz w:val="22"/>
              <w:szCs w:val="22"/>
              <w14:ligatures w14:val="none"/>
            </w:rPr>
          </w:pPr>
          <w:hyperlink w:anchor="_Toc220693043" w:history="1">
            <w:r w:rsidR="009A6258" w:rsidRPr="000D0BCD">
              <w:rPr>
                <w:rStyle w:val="Hyperlink"/>
                <w:rFonts w:ascii="Times New Roman" w:eastAsia="Times New Roman" w:hAnsi="Times New Roman" w:cs="Times New Roman"/>
                <w:b/>
                <w:bCs/>
                <w:noProof/>
              </w:rPr>
              <w:t xml:space="preserve">B. The Database Debate and the Rejection of a </w:t>
            </w:r>
            <w:r w:rsidR="009A6258" w:rsidRPr="000D0BCD">
              <w:rPr>
                <w:rStyle w:val="Hyperlink"/>
                <w:rFonts w:ascii="Times New Roman" w:eastAsia="Times New Roman" w:hAnsi="Times New Roman" w:cs="Times New Roman"/>
                <w:b/>
                <w:bCs/>
                <w:iCs/>
                <w:noProof/>
              </w:rPr>
              <w:t>Sui Generis</w:t>
            </w:r>
            <w:r w:rsidR="009A6258" w:rsidRPr="000D0BCD">
              <w:rPr>
                <w:rStyle w:val="Hyperlink"/>
                <w:rFonts w:ascii="Times New Roman" w:eastAsia="Times New Roman" w:hAnsi="Times New Roman" w:cs="Times New Roman"/>
                <w:b/>
                <w:bCs/>
                <w:noProof/>
              </w:rPr>
              <w:t xml:space="preserve"> Regime</w:t>
            </w:r>
            <w:r w:rsidR="009A6258">
              <w:rPr>
                <w:noProof/>
                <w:webHidden/>
              </w:rPr>
              <w:tab/>
            </w:r>
            <w:r w:rsidR="009A6258">
              <w:rPr>
                <w:noProof/>
                <w:webHidden/>
              </w:rPr>
              <w:fldChar w:fldCharType="begin"/>
            </w:r>
            <w:r w:rsidR="009A6258">
              <w:rPr>
                <w:noProof/>
                <w:webHidden/>
              </w:rPr>
              <w:instrText xml:space="preserve"> PAGEREF _Toc220693043 \h </w:instrText>
            </w:r>
            <w:r w:rsidR="009A6258">
              <w:rPr>
                <w:noProof/>
                <w:webHidden/>
              </w:rPr>
            </w:r>
            <w:r w:rsidR="009A6258">
              <w:rPr>
                <w:noProof/>
                <w:webHidden/>
              </w:rPr>
              <w:fldChar w:fldCharType="separate"/>
            </w:r>
            <w:r w:rsidR="009A6258">
              <w:rPr>
                <w:noProof/>
                <w:webHidden/>
              </w:rPr>
              <w:t>10</w:t>
            </w:r>
            <w:r w:rsidR="009A6258">
              <w:rPr>
                <w:noProof/>
                <w:webHidden/>
              </w:rPr>
              <w:fldChar w:fldCharType="end"/>
            </w:r>
          </w:hyperlink>
        </w:p>
        <w:p w14:paraId="5FD6A799" w14:textId="390FC330" w:rsidR="009A6258" w:rsidRDefault="004B0AF1">
          <w:pPr>
            <w:pStyle w:val="TOC3"/>
            <w:tabs>
              <w:tab w:val="right" w:leader="dot" w:pos="9350"/>
            </w:tabs>
            <w:rPr>
              <w:rFonts w:eastAsiaTheme="minorEastAsia"/>
              <w:noProof/>
              <w:kern w:val="0"/>
              <w:sz w:val="22"/>
              <w:szCs w:val="22"/>
              <w14:ligatures w14:val="none"/>
            </w:rPr>
          </w:pPr>
          <w:hyperlink w:anchor="_Toc220693044" w:history="1">
            <w:r w:rsidR="009A6258" w:rsidRPr="000D0BCD">
              <w:rPr>
                <w:rStyle w:val="Hyperlink"/>
                <w:rFonts w:ascii="Times New Roman" w:eastAsia="Times New Roman" w:hAnsi="Times New Roman" w:cs="Times New Roman"/>
                <w:b/>
                <w:bCs/>
                <w:noProof/>
              </w:rPr>
              <w:t>C. Originality, Data Curation, and the AI Analogy</w:t>
            </w:r>
            <w:r w:rsidR="009A6258">
              <w:rPr>
                <w:noProof/>
                <w:webHidden/>
              </w:rPr>
              <w:tab/>
            </w:r>
            <w:r w:rsidR="009A6258">
              <w:rPr>
                <w:noProof/>
                <w:webHidden/>
              </w:rPr>
              <w:fldChar w:fldCharType="begin"/>
            </w:r>
            <w:r w:rsidR="009A6258">
              <w:rPr>
                <w:noProof/>
                <w:webHidden/>
              </w:rPr>
              <w:instrText xml:space="preserve"> PAGEREF _Toc220693044 \h </w:instrText>
            </w:r>
            <w:r w:rsidR="009A6258">
              <w:rPr>
                <w:noProof/>
                <w:webHidden/>
              </w:rPr>
            </w:r>
            <w:r w:rsidR="009A6258">
              <w:rPr>
                <w:noProof/>
                <w:webHidden/>
              </w:rPr>
              <w:fldChar w:fldCharType="separate"/>
            </w:r>
            <w:r w:rsidR="009A6258">
              <w:rPr>
                <w:noProof/>
                <w:webHidden/>
              </w:rPr>
              <w:t>10</w:t>
            </w:r>
            <w:r w:rsidR="009A6258">
              <w:rPr>
                <w:noProof/>
                <w:webHidden/>
              </w:rPr>
              <w:fldChar w:fldCharType="end"/>
            </w:r>
          </w:hyperlink>
        </w:p>
        <w:p w14:paraId="48E8786A" w14:textId="360BDFBA" w:rsidR="009A6258" w:rsidRDefault="004B0AF1">
          <w:pPr>
            <w:pStyle w:val="TOC2"/>
            <w:tabs>
              <w:tab w:val="right" w:leader="dot" w:pos="9350"/>
            </w:tabs>
            <w:rPr>
              <w:rFonts w:eastAsiaTheme="minorEastAsia"/>
              <w:noProof/>
              <w:kern w:val="0"/>
              <w:sz w:val="22"/>
              <w:szCs w:val="22"/>
              <w14:ligatures w14:val="none"/>
            </w:rPr>
          </w:pPr>
          <w:hyperlink w:anchor="_Toc220693045" w:history="1">
            <w:r w:rsidR="009A6258" w:rsidRPr="000D0BCD">
              <w:rPr>
                <w:rStyle w:val="Hyperlink"/>
                <w:rFonts w:ascii="Times New Roman" w:eastAsia="Times New Roman" w:hAnsi="Times New Roman" w:cs="Times New Roman"/>
                <w:b/>
                <w:bCs/>
                <w:noProof/>
              </w:rPr>
              <w:t>PART III. THE HUMAN AUTHORSHIP REQUIREMENT</w:t>
            </w:r>
            <w:r w:rsidR="009A6258">
              <w:rPr>
                <w:noProof/>
                <w:webHidden/>
              </w:rPr>
              <w:tab/>
            </w:r>
            <w:r w:rsidR="009A6258">
              <w:rPr>
                <w:noProof/>
                <w:webHidden/>
              </w:rPr>
              <w:fldChar w:fldCharType="begin"/>
            </w:r>
            <w:r w:rsidR="009A6258">
              <w:rPr>
                <w:noProof/>
                <w:webHidden/>
              </w:rPr>
              <w:instrText xml:space="preserve"> PAGEREF _Toc220693045 \h </w:instrText>
            </w:r>
            <w:r w:rsidR="009A6258">
              <w:rPr>
                <w:noProof/>
                <w:webHidden/>
              </w:rPr>
            </w:r>
            <w:r w:rsidR="009A6258">
              <w:rPr>
                <w:noProof/>
                <w:webHidden/>
              </w:rPr>
              <w:fldChar w:fldCharType="separate"/>
            </w:r>
            <w:r w:rsidR="009A6258">
              <w:rPr>
                <w:noProof/>
                <w:webHidden/>
              </w:rPr>
              <w:t>11</w:t>
            </w:r>
            <w:r w:rsidR="009A6258">
              <w:rPr>
                <w:noProof/>
                <w:webHidden/>
              </w:rPr>
              <w:fldChar w:fldCharType="end"/>
            </w:r>
          </w:hyperlink>
        </w:p>
        <w:p w14:paraId="19606090" w14:textId="49F489E3" w:rsidR="009A6258" w:rsidRDefault="004B0AF1">
          <w:pPr>
            <w:pStyle w:val="TOC2"/>
            <w:tabs>
              <w:tab w:val="right" w:leader="dot" w:pos="9350"/>
            </w:tabs>
            <w:rPr>
              <w:rFonts w:eastAsiaTheme="minorEastAsia"/>
              <w:noProof/>
              <w:kern w:val="0"/>
              <w:sz w:val="22"/>
              <w:szCs w:val="22"/>
              <w14:ligatures w14:val="none"/>
            </w:rPr>
          </w:pPr>
          <w:hyperlink w:anchor="_Toc220693046" w:history="1">
            <w:r w:rsidR="009A6258" w:rsidRPr="000D0BCD">
              <w:rPr>
                <w:rStyle w:val="Hyperlink"/>
                <w:rFonts w:ascii="Times New Roman" w:eastAsia="Times New Roman" w:hAnsi="Times New Roman" w:cs="Times New Roman"/>
                <w:b/>
                <w:bCs/>
                <w:noProof/>
              </w:rPr>
              <w:t>PART IV. SUBSTANTIAL SIMILARITY AND THE PROBLEM OF STYLE</w:t>
            </w:r>
            <w:r w:rsidR="009A6258">
              <w:rPr>
                <w:noProof/>
                <w:webHidden/>
              </w:rPr>
              <w:tab/>
            </w:r>
            <w:r w:rsidR="009A6258">
              <w:rPr>
                <w:noProof/>
                <w:webHidden/>
              </w:rPr>
              <w:fldChar w:fldCharType="begin"/>
            </w:r>
            <w:r w:rsidR="009A6258">
              <w:rPr>
                <w:noProof/>
                <w:webHidden/>
              </w:rPr>
              <w:instrText xml:space="preserve"> PAGEREF _Toc220693046 \h </w:instrText>
            </w:r>
            <w:r w:rsidR="009A6258">
              <w:rPr>
                <w:noProof/>
                <w:webHidden/>
              </w:rPr>
            </w:r>
            <w:r w:rsidR="009A6258">
              <w:rPr>
                <w:noProof/>
                <w:webHidden/>
              </w:rPr>
              <w:fldChar w:fldCharType="separate"/>
            </w:r>
            <w:r w:rsidR="009A6258">
              <w:rPr>
                <w:noProof/>
                <w:webHidden/>
              </w:rPr>
              <w:t>13</w:t>
            </w:r>
            <w:r w:rsidR="009A6258">
              <w:rPr>
                <w:noProof/>
                <w:webHidden/>
              </w:rPr>
              <w:fldChar w:fldCharType="end"/>
            </w:r>
          </w:hyperlink>
        </w:p>
        <w:p w14:paraId="216536ED" w14:textId="0747E378" w:rsidR="009A6258" w:rsidRDefault="004B0AF1">
          <w:pPr>
            <w:pStyle w:val="TOC3"/>
            <w:tabs>
              <w:tab w:val="right" w:leader="dot" w:pos="9350"/>
            </w:tabs>
            <w:rPr>
              <w:rFonts w:eastAsiaTheme="minorEastAsia"/>
              <w:noProof/>
              <w:kern w:val="0"/>
              <w:sz w:val="22"/>
              <w:szCs w:val="22"/>
              <w14:ligatures w14:val="none"/>
            </w:rPr>
          </w:pPr>
          <w:hyperlink w:anchor="_Toc220693047" w:history="1">
            <w:r w:rsidR="009A6258" w:rsidRPr="000D0BCD">
              <w:rPr>
                <w:rStyle w:val="Hyperlink"/>
                <w:rFonts w:ascii="Times New Roman" w:eastAsia="Times New Roman" w:hAnsi="Times New Roman" w:cs="Times New Roman"/>
                <w:b/>
                <w:bCs/>
                <w:noProof/>
              </w:rPr>
              <w:t>A. The Emergence of the “Look and Feel” Doctrine</w:t>
            </w:r>
            <w:r w:rsidR="009A6258">
              <w:rPr>
                <w:noProof/>
                <w:webHidden/>
              </w:rPr>
              <w:tab/>
            </w:r>
            <w:r w:rsidR="009A6258">
              <w:rPr>
                <w:noProof/>
                <w:webHidden/>
              </w:rPr>
              <w:fldChar w:fldCharType="begin"/>
            </w:r>
            <w:r w:rsidR="009A6258">
              <w:rPr>
                <w:noProof/>
                <w:webHidden/>
              </w:rPr>
              <w:instrText xml:space="preserve"> PAGEREF _Toc220693047 \h </w:instrText>
            </w:r>
            <w:r w:rsidR="009A6258">
              <w:rPr>
                <w:noProof/>
                <w:webHidden/>
              </w:rPr>
            </w:r>
            <w:r w:rsidR="009A6258">
              <w:rPr>
                <w:noProof/>
                <w:webHidden/>
              </w:rPr>
              <w:fldChar w:fldCharType="separate"/>
            </w:r>
            <w:r w:rsidR="009A6258">
              <w:rPr>
                <w:noProof/>
                <w:webHidden/>
              </w:rPr>
              <w:t>13</w:t>
            </w:r>
            <w:r w:rsidR="009A6258">
              <w:rPr>
                <w:noProof/>
                <w:webHidden/>
              </w:rPr>
              <w:fldChar w:fldCharType="end"/>
            </w:r>
          </w:hyperlink>
        </w:p>
        <w:p w14:paraId="42F8E7EE" w14:textId="71F833E9" w:rsidR="009A6258" w:rsidRDefault="004B0AF1">
          <w:pPr>
            <w:pStyle w:val="TOC3"/>
            <w:tabs>
              <w:tab w:val="right" w:leader="dot" w:pos="9350"/>
            </w:tabs>
            <w:rPr>
              <w:rFonts w:eastAsiaTheme="minorEastAsia"/>
              <w:noProof/>
              <w:kern w:val="0"/>
              <w:sz w:val="22"/>
              <w:szCs w:val="22"/>
              <w14:ligatures w14:val="none"/>
            </w:rPr>
          </w:pPr>
          <w:hyperlink w:anchor="_Toc220693048" w:history="1">
            <w:r w:rsidR="009A6258" w:rsidRPr="000D0BCD">
              <w:rPr>
                <w:rStyle w:val="Hyperlink"/>
                <w:rFonts w:ascii="Times New Roman" w:eastAsia="Times New Roman" w:hAnsi="Times New Roman" w:cs="Times New Roman"/>
                <w:b/>
                <w:bCs/>
                <w:noProof/>
              </w:rPr>
              <w:t>B. The Problem of Stylistic Appropriation: Marvin Gaye’s “Vibe”</w:t>
            </w:r>
            <w:r w:rsidR="009A6258">
              <w:rPr>
                <w:noProof/>
                <w:webHidden/>
              </w:rPr>
              <w:tab/>
            </w:r>
            <w:r w:rsidR="009A6258">
              <w:rPr>
                <w:noProof/>
                <w:webHidden/>
              </w:rPr>
              <w:fldChar w:fldCharType="begin"/>
            </w:r>
            <w:r w:rsidR="009A6258">
              <w:rPr>
                <w:noProof/>
                <w:webHidden/>
              </w:rPr>
              <w:instrText xml:space="preserve"> PAGEREF _Toc220693048 \h </w:instrText>
            </w:r>
            <w:r w:rsidR="009A6258">
              <w:rPr>
                <w:noProof/>
                <w:webHidden/>
              </w:rPr>
            </w:r>
            <w:r w:rsidR="009A6258">
              <w:rPr>
                <w:noProof/>
                <w:webHidden/>
              </w:rPr>
              <w:fldChar w:fldCharType="separate"/>
            </w:r>
            <w:r w:rsidR="009A6258">
              <w:rPr>
                <w:noProof/>
                <w:webHidden/>
              </w:rPr>
              <w:t>14</w:t>
            </w:r>
            <w:r w:rsidR="009A6258">
              <w:rPr>
                <w:noProof/>
                <w:webHidden/>
              </w:rPr>
              <w:fldChar w:fldCharType="end"/>
            </w:r>
          </w:hyperlink>
        </w:p>
        <w:p w14:paraId="61E67A63" w14:textId="28141C52" w:rsidR="009A6258" w:rsidRDefault="004B0AF1">
          <w:pPr>
            <w:pStyle w:val="TOC4"/>
            <w:tabs>
              <w:tab w:val="right" w:leader="dot" w:pos="9350"/>
            </w:tabs>
            <w:rPr>
              <w:rFonts w:eastAsiaTheme="minorEastAsia"/>
              <w:noProof/>
              <w:kern w:val="0"/>
              <w:sz w:val="22"/>
              <w:szCs w:val="22"/>
              <w14:ligatures w14:val="none"/>
            </w:rPr>
          </w:pPr>
          <w:hyperlink w:anchor="_Toc220693049" w:history="1">
            <w:r w:rsidR="009A6258" w:rsidRPr="000D0BCD">
              <w:rPr>
                <w:rStyle w:val="Hyperlink"/>
                <w:rFonts w:ascii="Times New Roman" w:eastAsia="Times New Roman" w:hAnsi="Times New Roman" w:cs="Times New Roman"/>
                <w:noProof/>
              </w:rPr>
              <w:t>1. The Williams v. Gaye “Blurred Lines” case</w:t>
            </w:r>
            <w:r w:rsidR="009A6258">
              <w:rPr>
                <w:noProof/>
                <w:webHidden/>
              </w:rPr>
              <w:tab/>
            </w:r>
            <w:r w:rsidR="009A6258">
              <w:rPr>
                <w:noProof/>
                <w:webHidden/>
              </w:rPr>
              <w:fldChar w:fldCharType="begin"/>
            </w:r>
            <w:r w:rsidR="009A6258">
              <w:rPr>
                <w:noProof/>
                <w:webHidden/>
              </w:rPr>
              <w:instrText xml:space="preserve"> PAGEREF _Toc220693049 \h </w:instrText>
            </w:r>
            <w:r w:rsidR="009A6258">
              <w:rPr>
                <w:noProof/>
                <w:webHidden/>
              </w:rPr>
            </w:r>
            <w:r w:rsidR="009A6258">
              <w:rPr>
                <w:noProof/>
                <w:webHidden/>
              </w:rPr>
              <w:fldChar w:fldCharType="separate"/>
            </w:r>
            <w:r w:rsidR="009A6258">
              <w:rPr>
                <w:noProof/>
                <w:webHidden/>
              </w:rPr>
              <w:t>15</w:t>
            </w:r>
            <w:r w:rsidR="009A6258">
              <w:rPr>
                <w:noProof/>
                <w:webHidden/>
              </w:rPr>
              <w:fldChar w:fldCharType="end"/>
            </w:r>
          </w:hyperlink>
        </w:p>
        <w:p w14:paraId="61F21B81" w14:textId="11887065" w:rsidR="009A6258" w:rsidRDefault="004B0AF1">
          <w:pPr>
            <w:pStyle w:val="TOC4"/>
            <w:tabs>
              <w:tab w:val="right" w:leader="dot" w:pos="9350"/>
            </w:tabs>
            <w:rPr>
              <w:rFonts w:eastAsiaTheme="minorEastAsia"/>
              <w:noProof/>
              <w:kern w:val="0"/>
              <w:sz w:val="22"/>
              <w:szCs w:val="22"/>
              <w14:ligatures w14:val="none"/>
            </w:rPr>
          </w:pPr>
          <w:hyperlink w:anchor="_Toc220693050" w:history="1">
            <w:r w:rsidR="009A6258" w:rsidRPr="000D0BCD">
              <w:rPr>
                <w:rStyle w:val="Hyperlink"/>
                <w:rFonts w:ascii="Times New Roman" w:eastAsia="Times New Roman" w:hAnsi="Times New Roman" w:cs="Times New Roman"/>
                <w:noProof/>
              </w:rPr>
              <w:t>2. The Sheeran v. Townsend contrast</w:t>
            </w:r>
            <w:r w:rsidR="009A6258">
              <w:rPr>
                <w:noProof/>
                <w:webHidden/>
              </w:rPr>
              <w:tab/>
            </w:r>
            <w:r w:rsidR="009A6258">
              <w:rPr>
                <w:noProof/>
                <w:webHidden/>
              </w:rPr>
              <w:fldChar w:fldCharType="begin"/>
            </w:r>
            <w:r w:rsidR="009A6258">
              <w:rPr>
                <w:noProof/>
                <w:webHidden/>
              </w:rPr>
              <w:instrText xml:space="preserve"> PAGEREF _Toc220693050 \h </w:instrText>
            </w:r>
            <w:r w:rsidR="009A6258">
              <w:rPr>
                <w:noProof/>
                <w:webHidden/>
              </w:rPr>
            </w:r>
            <w:r w:rsidR="009A6258">
              <w:rPr>
                <w:noProof/>
                <w:webHidden/>
              </w:rPr>
              <w:fldChar w:fldCharType="separate"/>
            </w:r>
            <w:r w:rsidR="009A6258">
              <w:rPr>
                <w:noProof/>
                <w:webHidden/>
              </w:rPr>
              <w:t>15</w:t>
            </w:r>
            <w:r w:rsidR="009A6258">
              <w:rPr>
                <w:noProof/>
                <w:webHidden/>
              </w:rPr>
              <w:fldChar w:fldCharType="end"/>
            </w:r>
          </w:hyperlink>
        </w:p>
        <w:p w14:paraId="20160127" w14:textId="36F66AD7" w:rsidR="009A6258" w:rsidRDefault="004B0AF1">
          <w:pPr>
            <w:pStyle w:val="TOC4"/>
            <w:tabs>
              <w:tab w:val="right" w:leader="dot" w:pos="9350"/>
            </w:tabs>
            <w:rPr>
              <w:rFonts w:eastAsiaTheme="minorEastAsia"/>
              <w:noProof/>
              <w:kern w:val="0"/>
              <w:sz w:val="22"/>
              <w:szCs w:val="22"/>
              <w14:ligatures w14:val="none"/>
            </w:rPr>
          </w:pPr>
          <w:hyperlink w:anchor="_Toc220693051" w:history="1">
            <w:r w:rsidR="009A6258" w:rsidRPr="000D0BCD">
              <w:rPr>
                <w:rStyle w:val="Hyperlink"/>
                <w:rFonts w:ascii="Times New Roman" w:hAnsi="Times New Roman" w:cs="Times New Roman"/>
                <w:noProof/>
              </w:rPr>
              <w:t>3. Implications for AI-generated music</w:t>
            </w:r>
            <w:r w:rsidR="009A6258">
              <w:rPr>
                <w:noProof/>
                <w:webHidden/>
              </w:rPr>
              <w:tab/>
            </w:r>
            <w:r w:rsidR="009A6258">
              <w:rPr>
                <w:noProof/>
                <w:webHidden/>
              </w:rPr>
              <w:fldChar w:fldCharType="begin"/>
            </w:r>
            <w:r w:rsidR="009A6258">
              <w:rPr>
                <w:noProof/>
                <w:webHidden/>
              </w:rPr>
              <w:instrText xml:space="preserve"> PAGEREF _Toc220693051 \h </w:instrText>
            </w:r>
            <w:r w:rsidR="009A6258">
              <w:rPr>
                <w:noProof/>
                <w:webHidden/>
              </w:rPr>
            </w:r>
            <w:r w:rsidR="009A6258">
              <w:rPr>
                <w:noProof/>
                <w:webHidden/>
              </w:rPr>
              <w:fldChar w:fldCharType="separate"/>
            </w:r>
            <w:r w:rsidR="009A6258">
              <w:rPr>
                <w:noProof/>
                <w:webHidden/>
              </w:rPr>
              <w:t>16</w:t>
            </w:r>
            <w:r w:rsidR="009A6258">
              <w:rPr>
                <w:noProof/>
                <w:webHidden/>
              </w:rPr>
              <w:fldChar w:fldCharType="end"/>
            </w:r>
          </w:hyperlink>
        </w:p>
        <w:p w14:paraId="0736EE1E" w14:textId="325932B2" w:rsidR="009A6258" w:rsidRDefault="004B0AF1">
          <w:pPr>
            <w:pStyle w:val="TOC2"/>
            <w:tabs>
              <w:tab w:val="right" w:leader="dot" w:pos="9350"/>
            </w:tabs>
            <w:rPr>
              <w:rFonts w:eastAsiaTheme="minorEastAsia"/>
              <w:noProof/>
              <w:kern w:val="0"/>
              <w:sz w:val="22"/>
              <w:szCs w:val="22"/>
              <w14:ligatures w14:val="none"/>
            </w:rPr>
          </w:pPr>
          <w:hyperlink w:anchor="_Toc220693052" w:history="1">
            <w:r w:rsidR="009A6258" w:rsidRPr="000D0BCD">
              <w:rPr>
                <w:rStyle w:val="Hyperlink"/>
                <w:rFonts w:ascii="Times New Roman" w:eastAsia="Times New Roman" w:hAnsi="Times New Roman" w:cs="Times New Roman"/>
                <w:b/>
                <w:bCs/>
                <w:noProof/>
              </w:rPr>
              <w:t>PART V. FAIR USE, TRANSFORMATION AND MARKET EFFECT</w:t>
            </w:r>
            <w:r w:rsidR="009A6258">
              <w:rPr>
                <w:noProof/>
                <w:webHidden/>
              </w:rPr>
              <w:tab/>
            </w:r>
            <w:r w:rsidR="009A6258">
              <w:rPr>
                <w:noProof/>
                <w:webHidden/>
              </w:rPr>
              <w:fldChar w:fldCharType="begin"/>
            </w:r>
            <w:r w:rsidR="009A6258">
              <w:rPr>
                <w:noProof/>
                <w:webHidden/>
              </w:rPr>
              <w:instrText xml:space="preserve"> PAGEREF _Toc220693052 \h </w:instrText>
            </w:r>
            <w:r w:rsidR="009A6258">
              <w:rPr>
                <w:noProof/>
                <w:webHidden/>
              </w:rPr>
            </w:r>
            <w:r w:rsidR="009A6258">
              <w:rPr>
                <w:noProof/>
                <w:webHidden/>
              </w:rPr>
              <w:fldChar w:fldCharType="separate"/>
            </w:r>
            <w:r w:rsidR="009A6258">
              <w:rPr>
                <w:noProof/>
                <w:webHidden/>
              </w:rPr>
              <w:t>17</w:t>
            </w:r>
            <w:r w:rsidR="009A6258">
              <w:rPr>
                <w:noProof/>
                <w:webHidden/>
              </w:rPr>
              <w:fldChar w:fldCharType="end"/>
            </w:r>
          </w:hyperlink>
        </w:p>
        <w:p w14:paraId="6159AA2C" w14:textId="6E0177A5" w:rsidR="009A6258" w:rsidRDefault="004B0AF1">
          <w:pPr>
            <w:pStyle w:val="TOC3"/>
            <w:tabs>
              <w:tab w:val="right" w:leader="dot" w:pos="9350"/>
            </w:tabs>
            <w:rPr>
              <w:rFonts w:eastAsiaTheme="minorEastAsia"/>
              <w:noProof/>
              <w:kern w:val="0"/>
              <w:sz w:val="22"/>
              <w:szCs w:val="22"/>
              <w14:ligatures w14:val="none"/>
            </w:rPr>
          </w:pPr>
          <w:hyperlink w:anchor="_Toc220693053" w:history="1">
            <w:r w:rsidR="009A6258" w:rsidRPr="000D0BCD">
              <w:rPr>
                <w:rStyle w:val="Hyperlink"/>
                <w:rFonts w:ascii="Times New Roman" w:eastAsia="Times New Roman" w:hAnsi="Times New Roman" w:cs="Times New Roman"/>
                <w:b/>
                <w:bCs/>
                <w:noProof/>
              </w:rPr>
              <w:t>A. Fair Use</w:t>
            </w:r>
            <w:r w:rsidR="009A6258">
              <w:rPr>
                <w:noProof/>
                <w:webHidden/>
              </w:rPr>
              <w:tab/>
            </w:r>
            <w:r w:rsidR="009A6258">
              <w:rPr>
                <w:noProof/>
                <w:webHidden/>
              </w:rPr>
              <w:fldChar w:fldCharType="begin"/>
            </w:r>
            <w:r w:rsidR="009A6258">
              <w:rPr>
                <w:noProof/>
                <w:webHidden/>
              </w:rPr>
              <w:instrText xml:space="preserve"> PAGEREF _Toc220693053 \h </w:instrText>
            </w:r>
            <w:r w:rsidR="009A6258">
              <w:rPr>
                <w:noProof/>
                <w:webHidden/>
              </w:rPr>
            </w:r>
            <w:r w:rsidR="009A6258">
              <w:rPr>
                <w:noProof/>
                <w:webHidden/>
              </w:rPr>
              <w:fldChar w:fldCharType="separate"/>
            </w:r>
            <w:r w:rsidR="009A6258">
              <w:rPr>
                <w:noProof/>
                <w:webHidden/>
              </w:rPr>
              <w:t>17</w:t>
            </w:r>
            <w:r w:rsidR="009A6258">
              <w:rPr>
                <w:noProof/>
                <w:webHidden/>
              </w:rPr>
              <w:fldChar w:fldCharType="end"/>
            </w:r>
          </w:hyperlink>
        </w:p>
        <w:p w14:paraId="47E23971" w14:textId="2A0E9F65" w:rsidR="009A6258" w:rsidRDefault="004B0AF1">
          <w:pPr>
            <w:pStyle w:val="TOC3"/>
            <w:tabs>
              <w:tab w:val="right" w:leader="dot" w:pos="9350"/>
            </w:tabs>
            <w:rPr>
              <w:rFonts w:eastAsiaTheme="minorEastAsia"/>
              <w:noProof/>
              <w:kern w:val="0"/>
              <w:sz w:val="22"/>
              <w:szCs w:val="22"/>
              <w14:ligatures w14:val="none"/>
            </w:rPr>
          </w:pPr>
          <w:hyperlink w:anchor="_Toc220693054" w:history="1">
            <w:r w:rsidR="009A6258" w:rsidRPr="000D0BCD">
              <w:rPr>
                <w:rStyle w:val="Hyperlink"/>
                <w:rFonts w:ascii="Times New Roman" w:eastAsia="Times New Roman" w:hAnsi="Times New Roman" w:cs="Times New Roman"/>
                <w:b/>
                <w:bCs/>
                <w:noProof/>
              </w:rPr>
              <w:t xml:space="preserve">B. The Transformative Turn in </w:t>
            </w:r>
            <w:r w:rsidR="009A6258" w:rsidRPr="000D0BCD">
              <w:rPr>
                <w:rStyle w:val="Hyperlink"/>
                <w:rFonts w:ascii="Times New Roman" w:eastAsia="Times New Roman" w:hAnsi="Times New Roman" w:cs="Times New Roman"/>
                <w:b/>
                <w:bCs/>
                <w:i/>
                <w:iCs/>
                <w:noProof/>
              </w:rPr>
              <w:t>Campbell</w:t>
            </w:r>
            <w:r w:rsidR="009A6258">
              <w:rPr>
                <w:noProof/>
                <w:webHidden/>
              </w:rPr>
              <w:tab/>
            </w:r>
            <w:r w:rsidR="009A6258">
              <w:rPr>
                <w:noProof/>
                <w:webHidden/>
              </w:rPr>
              <w:fldChar w:fldCharType="begin"/>
            </w:r>
            <w:r w:rsidR="009A6258">
              <w:rPr>
                <w:noProof/>
                <w:webHidden/>
              </w:rPr>
              <w:instrText xml:space="preserve"> PAGEREF _Toc220693054 \h </w:instrText>
            </w:r>
            <w:r w:rsidR="009A6258">
              <w:rPr>
                <w:noProof/>
                <w:webHidden/>
              </w:rPr>
            </w:r>
            <w:r w:rsidR="009A6258">
              <w:rPr>
                <w:noProof/>
                <w:webHidden/>
              </w:rPr>
              <w:fldChar w:fldCharType="separate"/>
            </w:r>
            <w:r w:rsidR="009A6258">
              <w:rPr>
                <w:noProof/>
                <w:webHidden/>
              </w:rPr>
              <w:t>17</w:t>
            </w:r>
            <w:r w:rsidR="009A6258">
              <w:rPr>
                <w:noProof/>
                <w:webHidden/>
              </w:rPr>
              <w:fldChar w:fldCharType="end"/>
            </w:r>
          </w:hyperlink>
        </w:p>
        <w:p w14:paraId="4CC28DA0" w14:textId="54FFD4EA" w:rsidR="009A6258" w:rsidRDefault="004B0AF1">
          <w:pPr>
            <w:pStyle w:val="TOC3"/>
            <w:tabs>
              <w:tab w:val="right" w:leader="dot" w:pos="9350"/>
            </w:tabs>
            <w:rPr>
              <w:rFonts w:eastAsiaTheme="minorEastAsia"/>
              <w:noProof/>
              <w:kern w:val="0"/>
              <w:sz w:val="22"/>
              <w:szCs w:val="22"/>
              <w14:ligatures w14:val="none"/>
            </w:rPr>
          </w:pPr>
          <w:hyperlink w:anchor="_Toc220693055" w:history="1">
            <w:r w:rsidR="009A6258" w:rsidRPr="000D0BCD">
              <w:rPr>
                <w:rStyle w:val="Hyperlink"/>
                <w:rFonts w:ascii="Times New Roman" w:eastAsia="Times New Roman" w:hAnsi="Times New Roman" w:cs="Times New Roman"/>
                <w:b/>
                <w:bCs/>
                <w:noProof/>
              </w:rPr>
              <w:t xml:space="preserve">C. </w:t>
            </w:r>
            <w:r w:rsidR="009A6258" w:rsidRPr="000D0BCD">
              <w:rPr>
                <w:rStyle w:val="Hyperlink"/>
                <w:rFonts w:ascii="Times New Roman" w:eastAsia="Times New Roman" w:hAnsi="Times New Roman" w:cs="Times New Roman"/>
                <w:b/>
                <w:bCs/>
                <w:i/>
                <w:noProof/>
              </w:rPr>
              <w:t>Warhol</w:t>
            </w:r>
            <w:r w:rsidR="009A6258" w:rsidRPr="000D0BCD">
              <w:rPr>
                <w:rStyle w:val="Hyperlink"/>
                <w:rFonts w:ascii="Times New Roman" w:eastAsia="Times New Roman" w:hAnsi="Times New Roman" w:cs="Times New Roman"/>
                <w:b/>
                <w:bCs/>
                <w:noProof/>
              </w:rPr>
              <w:t>, Market Effect and AI</w:t>
            </w:r>
            <w:r w:rsidR="009A6258">
              <w:rPr>
                <w:noProof/>
                <w:webHidden/>
              </w:rPr>
              <w:tab/>
            </w:r>
            <w:r w:rsidR="009A6258">
              <w:rPr>
                <w:noProof/>
                <w:webHidden/>
              </w:rPr>
              <w:fldChar w:fldCharType="begin"/>
            </w:r>
            <w:r w:rsidR="009A6258">
              <w:rPr>
                <w:noProof/>
                <w:webHidden/>
              </w:rPr>
              <w:instrText xml:space="preserve"> PAGEREF _Toc220693055 \h </w:instrText>
            </w:r>
            <w:r w:rsidR="009A6258">
              <w:rPr>
                <w:noProof/>
                <w:webHidden/>
              </w:rPr>
            </w:r>
            <w:r w:rsidR="009A6258">
              <w:rPr>
                <w:noProof/>
                <w:webHidden/>
              </w:rPr>
              <w:fldChar w:fldCharType="separate"/>
            </w:r>
            <w:r w:rsidR="009A6258">
              <w:rPr>
                <w:noProof/>
                <w:webHidden/>
              </w:rPr>
              <w:t>18</w:t>
            </w:r>
            <w:r w:rsidR="009A6258">
              <w:rPr>
                <w:noProof/>
                <w:webHidden/>
              </w:rPr>
              <w:fldChar w:fldCharType="end"/>
            </w:r>
          </w:hyperlink>
        </w:p>
        <w:p w14:paraId="5EC00A57" w14:textId="292DBAF5" w:rsidR="009A6258" w:rsidRDefault="004B0AF1">
          <w:pPr>
            <w:pStyle w:val="TOC2"/>
            <w:tabs>
              <w:tab w:val="right" w:leader="dot" w:pos="9350"/>
            </w:tabs>
            <w:rPr>
              <w:rFonts w:eastAsiaTheme="minorEastAsia"/>
              <w:noProof/>
              <w:kern w:val="0"/>
              <w:sz w:val="22"/>
              <w:szCs w:val="22"/>
              <w14:ligatures w14:val="none"/>
            </w:rPr>
          </w:pPr>
          <w:hyperlink w:anchor="_Toc220693056" w:history="1">
            <w:r w:rsidR="009A6258" w:rsidRPr="000D0BCD">
              <w:rPr>
                <w:rStyle w:val="Hyperlink"/>
                <w:rFonts w:ascii="Times New Roman" w:eastAsia="Times New Roman" w:hAnsi="Times New Roman" w:cs="Times New Roman"/>
                <w:b/>
                <w:bCs/>
                <w:noProof/>
              </w:rPr>
              <w:t>PART VI. THE RIGHT OF PUBLICITY: WHERE LIKENESS MEETS EXPRESSION</w:t>
            </w:r>
            <w:r w:rsidR="009A6258">
              <w:rPr>
                <w:noProof/>
                <w:webHidden/>
              </w:rPr>
              <w:tab/>
            </w:r>
            <w:r w:rsidR="009A6258">
              <w:rPr>
                <w:noProof/>
                <w:webHidden/>
              </w:rPr>
              <w:fldChar w:fldCharType="begin"/>
            </w:r>
            <w:r w:rsidR="009A6258">
              <w:rPr>
                <w:noProof/>
                <w:webHidden/>
              </w:rPr>
              <w:instrText xml:space="preserve"> PAGEREF _Toc220693056 \h </w:instrText>
            </w:r>
            <w:r w:rsidR="009A6258">
              <w:rPr>
                <w:noProof/>
                <w:webHidden/>
              </w:rPr>
            </w:r>
            <w:r w:rsidR="009A6258">
              <w:rPr>
                <w:noProof/>
                <w:webHidden/>
              </w:rPr>
              <w:fldChar w:fldCharType="separate"/>
            </w:r>
            <w:r w:rsidR="009A6258">
              <w:rPr>
                <w:noProof/>
                <w:webHidden/>
              </w:rPr>
              <w:t>20</w:t>
            </w:r>
            <w:r w:rsidR="009A6258">
              <w:rPr>
                <w:noProof/>
                <w:webHidden/>
              </w:rPr>
              <w:fldChar w:fldCharType="end"/>
            </w:r>
          </w:hyperlink>
        </w:p>
        <w:p w14:paraId="085995EF" w14:textId="6234D12D" w:rsidR="009A6258" w:rsidRDefault="004B0AF1">
          <w:pPr>
            <w:pStyle w:val="TOC3"/>
            <w:tabs>
              <w:tab w:val="right" w:leader="dot" w:pos="9350"/>
            </w:tabs>
            <w:rPr>
              <w:rFonts w:eastAsiaTheme="minorEastAsia"/>
              <w:noProof/>
              <w:kern w:val="0"/>
              <w:sz w:val="22"/>
              <w:szCs w:val="22"/>
              <w14:ligatures w14:val="none"/>
            </w:rPr>
          </w:pPr>
          <w:hyperlink w:anchor="_Toc220693057" w:history="1">
            <w:r w:rsidR="009A6258" w:rsidRPr="000D0BCD">
              <w:rPr>
                <w:rStyle w:val="Hyperlink"/>
                <w:rFonts w:ascii="Times New Roman" w:eastAsia="Times New Roman" w:hAnsi="Times New Roman" w:cs="Times New Roman"/>
                <w:b/>
                <w:bCs/>
                <w:noProof/>
              </w:rPr>
              <w:t>A. Where Copyright Ends and the Right of Publicity Begins</w:t>
            </w:r>
            <w:r w:rsidR="009A6258">
              <w:rPr>
                <w:noProof/>
                <w:webHidden/>
              </w:rPr>
              <w:tab/>
            </w:r>
            <w:r w:rsidR="009A6258">
              <w:rPr>
                <w:noProof/>
                <w:webHidden/>
              </w:rPr>
              <w:fldChar w:fldCharType="begin"/>
            </w:r>
            <w:r w:rsidR="009A6258">
              <w:rPr>
                <w:noProof/>
                <w:webHidden/>
              </w:rPr>
              <w:instrText xml:space="preserve"> PAGEREF _Toc220693057 \h </w:instrText>
            </w:r>
            <w:r w:rsidR="009A6258">
              <w:rPr>
                <w:noProof/>
                <w:webHidden/>
              </w:rPr>
            </w:r>
            <w:r w:rsidR="009A6258">
              <w:rPr>
                <w:noProof/>
                <w:webHidden/>
              </w:rPr>
              <w:fldChar w:fldCharType="separate"/>
            </w:r>
            <w:r w:rsidR="009A6258">
              <w:rPr>
                <w:noProof/>
                <w:webHidden/>
              </w:rPr>
              <w:t>20</w:t>
            </w:r>
            <w:r w:rsidR="009A6258">
              <w:rPr>
                <w:noProof/>
                <w:webHidden/>
              </w:rPr>
              <w:fldChar w:fldCharType="end"/>
            </w:r>
          </w:hyperlink>
        </w:p>
        <w:p w14:paraId="6FD99BA2" w14:textId="47DF27C4" w:rsidR="009A6258" w:rsidRDefault="004B0AF1">
          <w:pPr>
            <w:pStyle w:val="TOC3"/>
            <w:tabs>
              <w:tab w:val="right" w:leader="dot" w:pos="9350"/>
            </w:tabs>
            <w:rPr>
              <w:rFonts w:eastAsiaTheme="minorEastAsia"/>
              <w:noProof/>
              <w:kern w:val="0"/>
              <w:sz w:val="22"/>
              <w:szCs w:val="22"/>
              <w14:ligatures w14:val="none"/>
            </w:rPr>
          </w:pPr>
          <w:hyperlink w:anchor="_Toc220693058" w:history="1">
            <w:r w:rsidR="009A6258" w:rsidRPr="000D0BCD">
              <w:rPr>
                <w:rStyle w:val="Hyperlink"/>
                <w:rFonts w:ascii="Times New Roman" w:eastAsia="Times New Roman" w:hAnsi="Times New Roman" w:cs="Times New Roman"/>
                <w:b/>
                <w:bCs/>
                <w:noProof/>
              </w:rPr>
              <w:t>B. From Digital Simulation to “Band Hero on Steroids”</w:t>
            </w:r>
            <w:r w:rsidR="009A6258">
              <w:rPr>
                <w:noProof/>
                <w:webHidden/>
              </w:rPr>
              <w:tab/>
            </w:r>
            <w:r w:rsidR="009A6258">
              <w:rPr>
                <w:noProof/>
                <w:webHidden/>
              </w:rPr>
              <w:fldChar w:fldCharType="begin"/>
            </w:r>
            <w:r w:rsidR="009A6258">
              <w:rPr>
                <w:noProof/>
                <w:webHidden/>
              </w:rPr>
              <w:instrText xml:space="preserve"> PAGEREF _Toc220693058 \h </w:instrText>
            </w:r>
            <w:r w:rsidR="009A6258">
              <w:rPr>
                <w:noProof/>
                <w:webHidden/>
              </w:rPr>
            </w:r>
            <w:r w:rsidR="009A6258">
              <w:rPr>
                <w:noProof/>
                <w:webHidden/>
              </w:rPr>
              <w:fldChar w:fldCharType="separate"/>
            </w:r>
            <w:r w:rsidR="009A6258">
              <w:rPr>
                <w:noProof/>
                <w:webHidden/>
              </w:rPr>
              <w:t>22</w:t>
            </w:r>
            <w:r w:rsidR="009A6258">
              <w:rPr>
                <w:noProof/>
                <w:webHidden/>
              </w:rPr>
              <w:fldChar w:fldCharType="end"/>
            </w:r>
          </w:hyperlink>
        </w:p>
        <w:p w14:paraId="0A347D55" w14:textId="7B811C64" w:rsidR="009A6258" w:rsidRDefault="004B0AF1">
          <w:pPr>
            <w:pStyle w:val="TOC3"/>
            <w:tabs>
              <w:tab w:val="right" w:leader="dot" w:pos="9350"/>
            </w:tabs>
            <w:rPr>
              <w:rFonts w:eastAsiaTheme="minorEastAsia"/>
              <w:noProof/>
              <w:kern w:val="0"/>
              <w:sz w:val="22"/>
              <w:szCs w:val="22"/>
              <w14:ligatures w14:val="none"/>
            </w:rPr>
          </w:pPr>
          <w:hyperlink w:anchor="_Toc220693059" w:history="1">
            <w:r w:rsidR="009A6258" w:rsidRPr="000D0BCD">
              <w:rPr>
                <w:rStyle w:val="Hyperlink"/>
                <w:rFonts w:ascii="Times New Roman" w:eastAsia="Times New Roman" w:hAnsi="Times New Roman" w:cs="Times New Roman"/>
                <w:b/>
                <w:bCs/>
                <w:noProof/>
              </w:rPr>
              <w:t>C. The Right of Publicity and AI</w:t>
            </w:r>
            <w:r w:rsidR="009A6258">
              <w:rPr>
                <w:noProof/>
                <w:webHidden/>
              </w:rPr>
              <w:tab/>
            </w:r>
            <w:r w:rsidR="009A6258">
              <w:rPr>
                <w:noProof/>
                <w:webHidden/>
              </w:rPr>
              <w:fldChar w:fldCharType="begin"/>
            </w:r>
            <w:r w:rsidR="009A6258">
              <w:rPr>
                <w:noProof/>
                <w:webHidden/>
              </w:rPr>
              <w:instrText xml:space="preserve"> PAGEREF _Toc220693059 \h </w:instrText>
            </w:r>
            <w:r w:rsidR="009A6258">
              <w:rPr>
                <w:noProof/>
                <w:webHidden/>
              </w:rPr>
            </w:r>
            <w:r w:rsidR="009A6258">
              <w:rPr>
                <w:noProof/>
                <w:webHidden/>
              </w:rPr>
              <w:fldChar w:fldCharType="separate"/>
            </w:r>
            <w:r w:rsidR="009A6258">
              <w:rPr>
                <w:noProof/>
                <w:webHidden/>
              </w:rPr>
              <w:t>23</w:t>
            </w:r>
            <w:r w:rsidR="009A6258">
              <w:rPr>
                <w:noProof/>
                <w:webHidden/>
              </w:rPr>
              <w:fldChar w:fldCharType="end"/>
            </w:r>
          </w:hyperlink>
        </w:p>
        <w:p w14:paraId="1AB8D383" w14:textId="14F0B9F9" w:rsidR="009A6258" w:rsidRDefault="004B0AF1">
          <w:pPr>
            <w:pStyle w:val="TOC3"/>
            <w:tabs>
              <w:tab w:val="right" w:leader="dot" w:pos="9350"/>
            </w:tabs>
            <w:rPr>
              <w:rFonts w:eastAsiaTheme="minorEastAsia"/>
              <w:noProof/>
              <w:kern w:val="0"/>
              <w:sz w:val="22"/>
              <w:szCs w:val="22"/>
              <w14:ligatures w14:val="none"/>
            </w:rPr>
          </w:pPr>
          <w:hyperlink w:anchor="_Toc220693060" w:history="1">
            <w:r w:rsidR="009A6258" w:rsidRPr="000D0BCD">
              <w:rPr>
                <w:rStyle w:val="Hyperlink"/>
                <w:rFonts w:ascii="Times New Roman" w:eastAsia="Times New Roman" w:hAnsi="Times New Roman" w:cs="Times New Roman"/>
                <w:b/>
                <w:bCs/>
                <w:noProof/>
              </w:rPr>
              <w:t>D. Subjectivity and the Warhol Paradox</w:t>
            </w:r>
            <w:r w:rsidR="009A6258">
              <w:rPr>
                <w:noProof/>
                <w:webHidden/>
              </w:rPr>
              <w:tab/>
            </w:r>
            <w:r w:rsidR="009A6258">
              <w:rPr>
                <w:noProof/>
                <w:webHidden/>
              </w:rPr>
              <w:fldChar w:fldCharType="begin"/>
            </w:r>
            <w:r w:rsidR="009A6258">
              <w:rPr>
                <w:noProof/>
                <w:webHidden/>
              </w:rPr>
              <w:instrText xml:space="preserve"> PAGEREF _Toc220693060 \h </w:instrText>
            </w:r>
            <w:r w:rsidR="009A6258">
              <w:rPr>
                <w:noProof/>
                <w:webHidden/>
              </w:rPr>
            </w:r>
            <w:r w:rsidR="009A6258">
              <w:rPr>
                <w:noProof/>
                <w:webHidden/>
              </w:rPr>
              <w:fldChar w:fldCharType="separate"/>
            </w:r>
            <w:r w:rsidR="009A6258">
              <w:rPr>
                <w:noProof/>
                <w:webHidden/>
              </w:rPr>
              <w:t>25</w:t>
            </w:r>
            <w:r w:rsidR="009A6258">
              <w:rPr>
                <w:noProof/>
                <w:webHidden/>
              </w:rPr>
              <w:fldChar w:fldCharType="end"/>
            </w:r>
          </w:hyperlink>
        </w:p>
        <w:p w14:paraId="3F9713D1" w14:textId="409ABF35" w:rsidR="009A6258" w:rsidRDefault="004B0AF1">
          <w:pPr>
            <w:pStyle w:val="TOC2"/>
            <w:tabs>
              <w:tab w:val="right" w:leader="dot" w:pos="9350"/>
            </w:tabs>
            <w:rPr>
              <w:rFonts w:eastAsiaTheme="minorEastAsia"/>
              <w:noProof/>
              <w:kern w:val="0"/>
              <w:sz w:val="22"/>
              <w:szCs w:val="22"/>
              <w14:ligatures w14:val="none"/>
            </w:rPr>
          </w:pPr>
          <w:hyperlink w:anchor="_Toc220693061" w:history="1">
            <w:r w:rsidR="009A6258" w:rsidRPr="000D0BCD">
              <w:rPr>
                <w:rStyle w:val="Hyperlink"/>
                <w:rFonts w:ascii="Times New Roman" w:eastAsia="Times New Roman" w:hAnsi="Times New Roman" w:cs="Times New Roman"/>
                <w:b/>
                <w:bCs/>
                <w:noProof/>
              </w:rPr>
              <w:t>PART VII. CURRENT AI–COPYRIGHT LITIGATION</w:t>
            </w:r>
            <w:r w:rsidR="009A6258">
              <w:rPr>
                <w:noProof/>
                <w:webHidden/>
              </w:rPr>
              <w:tab/>
            </w:r>
            <w:r w:rsidR="009A6258">
              <w:rPr>
                <w:noProof/>
                <w:webHidden/>
              </w:rPr>
              <w:fldChar w:fldCharType="begin"/>
            </w:r>
            <w:r w:rsidR="009A6258">
              <w:rPr>
                <w:noProof/>
                <w:webHidden/>
              </w:rPr>
              <w:instrText xml:space="preserve"> PAGEREF _Toc220693061 \h </w:instrText>
            </w:r>
            <w:r w:rsidR="009A6258">
              <w:rPr>
                <w:noProof/>
                <w:webHidden/>
              </w:rPr>
            </w:r>
            <w:r w:rsidR="009A6258">
              <w:rPr>
                <w:noProof/>
                <w:webHidden/>
              </w:rPr>
              <w:fldChar w:fldCharType="separate"/>
            </w:r>
            <w:r w:rsidR="009A6258">
              <w:rPr>
                <w:noProof/>
                <w:webHidden/>
              </w:rPr>
              <w:t>27</w:t>
            </w:r>
            <w:r w:rsidR="009A6258">
              <w:rPr>
                <w:noProof/>
                <w:webHidden/>
              </w:rPr>
              <w:fldChar w:fldCharType="end"/>
            </w:r>
          </w:hyperlink>
        </w:p>
        <w:p w14:paraId="21E020DA" w14:textId="5E86931F" w:rsidR="009A6258" w:rsidRDefault="004B0AF1">
          <w:pPr>
            <w:pStyle w:val="TOC3"/>
            <w:tabs>
              <w:tab w:val="right" w:leader="dot" w:pos="9350"/>
            </w:tabs>
            <w:rPr>
              <w:rFonts w:eastAsiaTheme="minorEastAsia"/>
              <w:noProof/>
              <w:kern w:val="0"/>
              <w:sz w:val="22"/>
              <w:szCs w:val="22"/>
              <w14:ligatures w14:val="none"/>
            </w:rPr>
          </w:pPr>
          <w:hyperlink w:anchor="_Toc220693062" w:history="1">
            <w:r w:rsidR="009A6258" w:rsidRPr="000D0BCD">
              <w:rPr>
                <w:rStyle w:val="Hyperlink"/>
                <w:rFonts w:ascii="Times New Roman" w:eastAsia="Times New Roman" w:hAnsi="Times New Roman" w:cs="Times New Roman"/>
                <w:b/>
                <w:bCs/>
                <w:noProof/>
              </w:rPr>
              <w:t>A. The Common Issues</w:t>
            </w:r>
            <w:r w:rsidR="009A6258">
              <w:rPr>
                <w:noProof/>
                <w:webHidden/>
              </w:rPr>
              <w:tab/>
            </w:r>
            <w:r w:rsidR="009A6258">
              <w:rPr>
                <w:noProof/>
                <w:webHidden/>
              </w:rPr>
              <w:fldChar w:fldCharType="begin"/>
            </w:r>
            <w:r w:rsidR="009A6258">
              <w:rPr>
                <w:noProof/>
                <w:webHidden/>
              </w:rPr>
              <w:instrText xml:space="preserve"> PAGEREF _Toc220693062 \h </w:instrText>
            </w:r>
            <w:r w:rsidR="009A6258">
              <w:rPr>
                <w:noProof/>
                <w:webHidden/>
              </w:rPr>
            </w:r>
            <w:r w:rsidR="009A6258">
              <w:rPr>
                <w:noProof/>
                <w:webHidden/>
              </w:rPr>
              <w:fldChar w:fldCharType="separate"/>
            </w:r>
            <w:r w:rsidR="009A6258">
              <w:rPr>
                <w:noProof/>
                <w:webHidden/>
              </w:rPr>
              <w:t>27</w:t>
            </w:r>
            <w:r w:rsidR="009A6258">
              <w:rPr>
                <w:noProof/>
                <w:webHidden/>
              </w:rPr>
              <w:fldChar w:fldCharType="end"/>
            </w:r>
          </w:hyperlink>
        </w:p>
        <w:p w14:paraId="2E592290" w14:textId="6BF20FE1" w:rsidR="009A6258" w:rsidRDefault="004B0AF1">
          <w:pPr>
            <w:pStyle w:val="TOC4"/>
            <w:tabs>
              <w:tab w:val="right" w:leader="dot" w:pos="9350"/>
            </w:tabs>
            <w:rPr>
              <w:rFonts w:eastAsiaTheme="minorEastAsia"/>
              <w:noProof/>
              <w:kern w:val="0"/>
              <w:sz w:val="22"/>
              <w:szCs w:val="22"/>
              <w14:ligatures w14:val="none"/>
            </w:rPr>
          </w:pPr>
          <w:hyperlink w:anchor="_Toc220693063" w:history="1">
            <w:r w:rsidR="009A6258" w:rsidRPr="000D0BCD">
              <w:rPr>
                <w:rStyle w:val="Hyperlink"/>
                <w:noProof/>
              </w:rPr>
              <w:t>1. Ingestion and the Idea–Expression Dichotomy</w:t>
            </w:r>
            <w:r w:rsidR="009A6258">
              <w:rPr>
                <w:noProof/>
                <w:webHidden/>
              </w:rPr>
              <w:tab/>
            </w:r>
            <w:r w:rsidR="009A6258">
              <w:rPr>
                <w:noProof/>
                <w:webHidden/>
              </w:rPr>
              <w:fldChar w:fldCharType="begin"/>
            </w:r>
            <w:r w:rsidR="009A6258">
              <w:rPr>
                <w:noProof/>
                <w:webHidden/>
              </w:rPr>
              <w:instrText xml:space="preserve"> PAGEREF _Toc220693063 \h </w:instrText>
            </w:r>
            <w:r w:rsidR="009A6258">
              <w:rPr>
                <w:noProof/>
                <w:webHidden/>
              </w:rPr>
            </w:r>
            <w:r w:rsidR="009A6258">
              <w:rPr>
                <w:noProof/>
                <w:webHidden/>
              </w:rPr>
              <w:fldChar w:fldCharType="separate"/>
            </w:r>
            <w:r w:rsidR="009A6258">
              <w:rPr>
                <w:noProof/>
                <w:webHidden/>
              </w:rPr>
              <w:t>28</w:t>
            </w:r>
            <w:r w:rsidR="009A6258">
              <w:rPr>
                <w:noProof/>
                <w:webHidden/>
              </w:rPr>
              <w:fldChar w:fldCharType="end"/>
            </w:r>
          </w:hyperlink>
        </w:p>
        <w:p w14:paraId="2C8FC036" w14:textId="7BF39159" w:rsidR="009A6258" w:rsidRDefault="004B0AF1">
          <w:pPr>
            <w:pStyle w:val="TOC4"/>
            <w:tabs>
              <w:tab w:val="right" w:leader="dot" w:pos="9350"/>
            </w:tabs>
            <w:rPr>
              <w:rFonts w:eastAsiaTheme="minorEastAsia"/>
              <w:noProof/>
              <w:kern w:val="0"/>
              <w:sz w:val="22"/>
              <w:szCs w:val="22"/>
              <w14:ligatures w14:val="none"/>
            </w:rPr>
          </w:pPr>
          <w:hyperlink w:anchor="_Toc220693064" w:history="1">
            <w:r w:rsidR="009A6258" w:rsidRPr="000D0BCD">
              <w:rPr>
                <w:rStyle w:val="Hyperlink"/>
                <w:noProof/>
              </w:rPr>
              <w:t>2. Fair Use and the Transformative Inquiry</w:t>
            </w:r>
            <w:r w:rsidR="009A6258">
              <w:rPr>
                <w:noProof/>
                <w:webHidden/>
              </w:rPr>
              <w:tab/>
            </w:r>
            <w:r w:rsidR="009A6258">
              <w:rPr>
                <w:noProof/>
                <w:webHidden/>
              </w:rPr>
              <w:fldChar w:fldCharType="begin"/>
            </w:r>
            <w:r w:rsidR="009A6258">
              <w:rPr>
                <w:noProof/>
                <w:webHidden/>
              </w:rPr>
              <w:instrText xml:space="preserve"> PAGEREF _Toc220693064 \h </w:instrText>
            </w:r>
            <w:r w:rsidR="009A6258">
              <w:rPr>
                <w:noProof/>
                <w:webHidden/>
              </w:rPr>
            </w:r>
            <w:r w:rsidR="009A6258">
              <w:rPr>
                <w:noProof/>
                <w:webHidden/>
              </w:rPr>
              <w:fldChar w:fldCharType="separate"/>
            </w:r>
            <w:r w:rsidR="009A6258">
              <w:rPr>
                <w:noProof/>
                <w:webHidden/>
              </w:rPr>
              <w:t>28</w:t>
            </w:r>
            <w:r w:rsidR="009A6258">
              <w:rPr>
                <w:noProof/>
                <w:webHidden/>
              </w:rPr>
              <w:fldChar w:fldCharType="end"/>
            </w:r>
          </w:hyperlink>
        </w:p>
        <w:p w14:paraId="21CD9F8D" w14:textId="4B35C127" w:rsidR="009A6258" w:rsidRDefault="004B0AF1">
          <w:pPr>
            <w:pStyle w:val="TOC4"/>
            <w:tabs>
              <w:tab w:val="right" w:leader="dot" w:pos="9350"/>
            </w:tabs>
            <w:rPr>
              <w:rFonts w:eastAsiaTheme="minorEastAsia"/>
              <w:noProof/>
              <w:kern w:val="0"/>
              <w:sz w:val="22"/>
              <w:szCs w:val="22"/>
              <w14:ligatures w14:val="none"/>
            </w:rPr>
          </w:pPr>
          <w:hyperlink w:anchor="_Toc220693065" w:history="1">
            <w:r w:rsidR="009A6258" w:rsidRPr="000D0BCD">
              <w:rPr>
                <w:rStyle w:val="Hyperlink"/>
                <w:noProof/>
              </w:rPr>
              <w:t>3. Output and Originality</w:t>
            </w:r>
            <w:r w:rsidR="009A6258">
              <w:rPr>
                <w:noProof/>
                <w:webHidden/>
              </w:rPr>
              <w:tab/>
            </w:r>
            <w:r w:rsidR="009A6258">
              <w:rPr>
                <w:noProof/>
                <w:webHidden/>
              </w:rPr>
              <w:fldChar w:fldCharType="begin"/>
            </w:r>
            <w:r w:rsidR="009A6258">
              <w:rPr>
                <w:noProof/>
                <w:webHidden/>
              </w:rPr>
              <w:instrText xml:space="preserve"> PAGEREF _Toc220693065 \h </w:instrText>
            </w:r>
            <w:r w:rsidR="009A6258">
              <w:rPr>
                <w:noProof/>
                <w:webHidden/>
              </w:rPr>
            </w:r>
            <w:r w:rsidR="009A6258">
              <w:rPr>
                <w:noProof/>
                <w:webHidden/>
              </w:rPr>
              <w:fldChar w:fldCharType="separate"/>
            </w:r>
            <w:r w:rsidR="009A6258">
              <w:rPr>
                <w:noProof/>
                <w:webHidden/>
              </w:rPr>
              <w:t>29</w:t>
            </w:r>
            <w:r w:rsidR="009A6258">
              <w:rPr>
                <w:noProof/>
                <w:webHidden/>
              </w:rPr>
              <w:fldChar w:fldCharType="end"/>
            </w:r>
          </w:hyperlink>
        </w:p>
        <w:p w14:paraId="686EA615" w14:textId="429567E1" w:rsidR="009A6258" w:rsidRDefault="004B0AF1">
          <w:pPr>
            <w:pStyle w:val="TOC4"/>
            <w:tabs>
              <w:tab w:val="right" w:leader="dot" w:pos="9350"/>
            </w:tabs>
            <w:rPr>
              <w:rFonts w:eastAsiaTheme="minorEastAsia"/>
              <w:noProof/>
              <w:kern w:val="0"/>
              <w:sz w:val="22"/>
              <w:szCs w:val="22"/>
              <w14:ligatures w14:val="none"/>
            </w:rPr>
          </w:pPr>
          <w:hyperlink w:anchor="_Toc220693066" w:history="1">
            <w:r w:rsidR="009A6258" w:rsidRPr="000D0BCD">
              <w:rPr>
                <w:rStyle w:val="Hyperlink"/>
                <w:noProof/>
              </w:rPr>
              <w:t>4. Style, Substantial Similarity, Derivative Works, and Rights of Publicity</w:t>
            </w:r>
            <w:r w:rsidR="009A6258">
              <w:rPr>
                <w:noProof/>
                <w:webHidden/>
              </w:rPr>
              <w:tab/>
            </w:r>
            <w:r w:rsidR="009A6258">
              <w:rPr>
                <w:noProof/>
                <w:webHidden/>
              </w:rPr>
              <w:fldChar w:fldCharType="begin"/>
            </w:r>
            <w:r w:rsidR="009A6258">
              <w:rPr>
                <w:noProof/>
                <w:webHidden/>
              </w:rPr>
              <w:instrText xml:space="preserve"> PAGEREF _Toc220693066 \h </w:instrText>
            </w:r>
            <w:r w:rsidR="009A6258">
              <w:rPr>
                <w:noProof/>
                <w:webHidden/>
              </w:rPr>
            </w:r>
            <w:r w:rsidR="009A6258">
              <w:rPr>
                <w:noProof/>
                <w:webHidden/>
              </w:rPr>
              <w:fldChar w:fldCharType="separate"/>
            </w:r>
            <w:r w:rsidR="009A6258">
              <w:rPr>
                <w:noProof/>
                <w:webHidden/>
              </w:rPr>
              <w:t>30</w:t>
            </w:r>
            <w:r w:rsidR="009A6258">
              <w:rPr>
                <w:noProof/>
                <w:webHidden/>
              </w:rPr>
              <w:fldChar w:fldCharType="end"/>
            </w:r>
          </w:hyperlink>
        </w:p>
        <w:p w14:paraId="77E666DE" w14:textId="3ECD9D5D" w:rsidR="009A6258" w:rsidRDefault="004B0AF1">
          <w:pPr>
            <w:pStyle w:val="TOC4"/>
            <w:tabs>
              <w:tab w:val="right" w:leader="dot" w:pos="9350"/>
            </w:tabs>
            <w:rPr>
              <w:rFonts w:eastAsiaTheme="minorEastAsia"/>
              <w:noProof/>
              <w:kern w:val="0"/>
              <w:sz w:val="22"/>
              <w:szCs w:val="22"/>
              <w14:ligatures w14:val="none"/>
            </w:rPr>
          </w:pPr>
          <w:hyperlink w:anchor="_Toc220693067" w:history="1">
            <w:r w:rsidR="009A6258" w:rsidRPr="000D0BCD">
              <w:rPr>
                <w:rStyle w:val="Hyperlink"/>
                <w:noProof/>
              </w:rPr>
              <w:t>5. Memorization, Safeguards, and Unlearning</w:t>
            </w:r>
            <w:r w:rsidR="009A6258">
              <w:rPr>
                <w:noProof/>
                <w:webHidden/>
              </w:rPr>
              <w:tab/>
            </w:r>
            <w:r w:rsidR="009A6258">
              <w:rPr>
                <w:noProof/>
                <w:webHidden/>
              </w:rPr>
              <w:fldChar w:fldCharType="begin"/>
            </w:r>
            <w:r w:rsidR="009A6258">
              <w:rPr>
                <w:noProof/>
                <w:webHidden/>
              </w:rPr>
              <w:instrText xml:space="preserve"> PAGEREF _Toc220693067 \h </w:instrText>
            </w:r>
            <w:r w:rsidR="009A6258">
              <w:rPr>
                <w:noProof/>
                <w:webHidden/>
              </w:rPr>
            </w:r>
            <w:r w:rsidR="009A6258">
              <w:rPr>
                <w:noProof/>
                <w:webHidden/>
              </w:rPr>
              <w:fldChar w:fldCharType="separate"/>
            </w:r>
            <w:r w:rsidR="009A6258">
              <w:rPr>
                <w:noProof/>
                <w:webHidden/>
              </w:rPr>
              <w:t>31</w:t>
            </w:r>
            <w:r w:rsidR="009A6258">
              <w:rPr>
                <w:noProof/>
                <w:webHidden/>
              </w:rPr>
              <w:fldChar w:fldCharType="end"/>
            </w:r>
          </w:hyperlink>
        </w:p>
        <w:p w14:paraId="5D053A6C" w14:textId="7AD5AC63" w:rsidR="009A6258" w:rsidRDefault="004B0AF1">
          <w:pPr>
            <w:pStyle w:val="TOC4"/>
            <w:tabs>
              <w:tab w:val="right" w:leader="dot" w:pos="9350"/>
            </w:tabs>
            <w:rPr>
              <w:rFonts w:eastAsiaTheme="minorEastAsia"/>
              <w:noProof/>
              <w:kern w:val="0"/>
              <w:sz w:val="22"/>
              <w:szCs w:val="22"/>
              <w14:ligatures w14:val="none"/>
            </w:rPr>
          </w:pPr>
          <w:hyperlink w:anchor="_Toc220693068" w:history="1">
            <w:r w:rsidR="009A6258" w:rsidRPr="000D0BCD">
              <w:rPr>
                <w:rStyle w:val="Hyperlink"/>
                <w:noProof/>
              </w:rPr>
              <w:t>6. The Digital Millennium Copyright Act (DMCA)</w:t>
            </w:r>
            <w:r w:rsidR="009A6258">
              <w:rPr>
                <w:noProof/>
                <w:webHidden/>
              </w:rPr>
              <w:tab/>
            </w:r>
            <w:r w:rsidR="009A6258">
              <w:rPr>
                <w:noProof/>
                <w:webHidden/>
              </w:rPr>
              <w:fldChar w:fldCharType="begin"/>
            </w:r>
            <w:r w:rsidR="009A6258">
              <w:rPr>
                <w:noProof/>
                <w:webHidden/>
              </w:rPr>
              <w:instrText xml:space="preserve"> PAGEREF _Toc220693068 \h </w:instrText>
            </w:r>
            <w:r w:rsidR="009A6258">
              <w:rPr>
                <w:noProof/>
                <w:webHidden/>
              </w:rPr>
            </w:r>
            <w:r w:rsidR="009A6258">
              <w:rPr>
                <w:noProof/>
                <w:webHidden/>
              </w:rPr>
              <w:fldChar w:fldCharType="separate"/>
            </w:r>
            <w:r w:rsidR="009A6258">
              <w:rPr>
                <w:noProof/>
                <w:webHidden/>
              </w:rPr>
              <w:t>32</w:t>
            </w:r>
            <w:r w:rsidR="009A6258">
              <w:rPr>
                <w:noProof/>
                <w:webHidden/>
              </w:rPr>
              <w:fldChar w:fldCharType="end"/>
            </w:r>
          </w:hyperlink>
        </w:p>
        <w:p w14:paraId="2C9F311B" w14:textId="0E45902F" w:rsidR="009A6258" w:rsidRDefault="004B0AF1">
          <w:pPr>
            <w:pStyle w:val="TOC4"/>
            <w:tabs>
              <w:tab w:val="right" w:leader="dot" w:pos="9350"/>
            </w:tabs>
            <w:rPr>
              <w:rFonts w:eastAsiaTheme="minorEastAsia"/>
              <w:noProof/>
              <w:kern w:val="0"/>
              <w:sz w:val="22"/>
              <w:szCs w:val="22"/>
              <w14:ligatures w14:val="none"/>
            </w:rPr>
          </w:pPr>
          <w:hyperlink w:anchor="_Toc220693069" w:history="1">
            <w:r w:rsidR="009A6258" w:rsidRPr="000D0BCD">
              <w:rPr>
                <w:rStyle w:val="Hyperlink"/>
                <w:noProof/>
              </w:rPr>
              <w:t>6. Sourcing and Licensing</w:t>
            </w:r>
            <w:r w:rsidR="009A6258">
              <w:rPr>
                <w:noProof/>
                <w:webHidden/>
              </w:rPr>
              <w:tab/>
            </w:r>
            <w:r w:rsidR="009A6258">
              <w:rPr>
                <w:noProof/>
                <w:webHidden/>
              </w:rPr>
              <w:fldChar w:fldCharType="begin"/>
            </w:r>
            <w:r w:rsidR="009A6258">
              <w:rPr>
                <w:noProof/>
                <w:webHidden/>
              </w:rPr>
              <w:instrText xml:space="preserve"> PAGEREF _Toc220693069 \h </w:instrText>
            </w:r>
            <w:r w:rsidR="009A6258">
              <w:rPr>
                <w:noProof/>
                <w:webHidden/>
              </w:rPr>
            </w:r>
            <w:r w:rsidR="009A6258">
              <w:rPr>
                <w:noProof/>
                <w:webHidden/>
              </w:rPr>
              <w:fldChar w:fldCharType="separate"/>
            </w:r>
            <w:r w:rsidR="009A6258">
              <w:rPr>
                <w:noProof/>
                <w:webHidden/>
              </w:rPr>
              <w:t>33</w:t>
            </w:r>
            <w:r w:rsidR="009A6258">
              <w:rPr>
                <w:noProof/>
                <w:webHidden/>
              </w:rPr>
              <w:fldChar w:fldCharType="end"/>
            </w:r>
          </w:hyperlink>
        </w:p>
        <w:p w14:paraId="722B938D" w14:textId="4CBC18BD" w:rsidR="009A6258" w:rsidRDefault="004B0AF1">
          <w:pPr>
            <w:pStyle w:val="TOC3"/>
            <w:tabs>
              <w:tab w:val="right" w:leader="dot" w:pos="9350"/>
            </w:tabs>
            <w:rPr>
              <w:rFonts w:eastAsiaTheme="minorEastAsia"/>
              <w:noProof/>
              <w:kern w:val="0"/>
              <w:sz w:val="22"/>
              <w:szCs w:val="22"/>
              <w14:ligatures w14:val="none"/>
            </w:rPr>
          </w:pPr>
          <w:hyperlink w:anchor="_Toc220693070" w:history="1">
            <w:r w:rsidR="009A6258" w:rsidRPr="000D0BCD">
              <w:rPr>
                <w:rStyle w:val="Hyperlink"/>
                <w:rFonts w:ascii="Times New Roman" w:eastAsia="Times New Roman" w:hAnsi="Times New Roman" w:cs="Times New Roman"/>
                <w:b/>
                <w:bCs/>
                <w:noProof/>
              </w:rPr>
              <w:t>B. The Non-Generative AI Cases</w:t>
            </w:r>
            <w:r w:rsidR="009A6258">
              <w:rPr>
                <w:noProof/>
                <w:webHidden/>
              </w:rPr>
              <w:tab/>
            </w:r>
            <w:r w:rsidR="009A6258">
              <w:rPr>
                <w:noProof/>
                <w:webHidden/>
              </w:rPr>
              <w:fldChar w:fldCharType="begin"/>
            </w:r>
            <w:r w:rsidR="009A6258">
              <w:rPr>
                <w:noProof/>
                <w:webHidden/>
              </w:rPr>
              <w:instrText xml:space="preserve"> PAGEREF _Toc220693070 \h </w:instrText>
            </w:r>
            <w:r w:rsidR="009A6258">
              <w:rPr>
                <w:noProof/>
                <w:webHidden/>
              </w:rPr>
            </w:r>
            <w:r w:rsidR="009A6258">
              <w:rPr>
                <w:noProof/>
                <w:webHidden/>
              </w:rPr>
              <w:fldChar w:fldCharType="separate"/>
            </w:r>
            <w:r w:rsidR="009A6258">
              <w:rPr>
                <w:noProof/>
                <w:webHidden/>
              </w:rPr>
              <w:t>33</w:t>
            </w:r>
            <w:r w:rsidR="009A6258">
              <w:rPr>
                <w:noProof/>
                <w:webHidden/>
              </w:rPr>
              <w:fldChar w:fldCharType="end"/>
            </w:r>
          </w:hyperlink>
        </w:p>
        <w:p w14:paraId="0CC871A6" w14:textId="1B9C0AAE" w:rsidR="009A6258" w:rsidRDefault="004B0AF1">
          <w:pPr>
            <w:pStyle w:val="TOC4"/>
            <w:tabs>
              <w:tab w:val="right" w:leader="dot" w:pos="9350"/>
            </w:tabs>
            <w:rPr>
              <w:rFonts w:eastAsiaTheme="minorEastAsia"/>
              <w:noProof/>
              <w:kern w:val="0"/>
              <w:sz w:val="22"/>
              <w:szCs w:val="22"/>
              <w14:ligatures w14:val="none"/>
            </w:rPr>
          </w:pPr>
          <w:hyperlink w:anchor="_Toc220693071" w:history="1">
            <w:r w:rsidR="009A6258" w:rsidRPr="000D0BCD">
              <w:rPr>
                <w:rStyle w:val="Hyperlink"/>
                <w:noProof/>
              </w:rPr>
              <w:t>1. Authors Guild v. HathiTrust</w:t>
            </w:r>
            <w:r w:rsidR="009A6258">
              <w:rPr>
                <w:noProof/>
                <w:webHidden/>
              </w:rPr>
              <w:tab/>
            </w:r>
            <w:r w:rsidR="009A6258">
              <w:rPr>
                <w:noProof/>
                <w:webHidden/>
              </w:rPr>
              <w:fldChar w:fldCharType="begin"/>
            </w:r>
            <w:r w:rsidR="009A6258">
              <w:rPr>
                <w:noProof/>
                <w:webHidden/>
              </w:rPr>
              <w:instrText xml:space="preserve"> PAGEREF _Toc220693071 \h </w:instrText>
            </w:r>
            <w:r w:rsidR="009A6258">
              <w:rPr>
                <w:noProof/>
                <w:webHidden/>
              </w:rPr>
            </w:r>
            <w:r w:rsidR="009A6258">
              <w:rPr>
                <w:noProof/>
                <w:webHidden/>
              </w:rPr>
              <w:fldChar w:fldCharType="separate"/>
            </w:r>
            <w:r w:rsidR="009A6258">
              <w:rPr>
                <w:noProof/>
                <w:webHidden/>
              </w:rPr>
              <w:t>33</w:t>
            </w:r>
            <w:r w:rsidR="009A6258">
              <w:rPr>
                <w:noProof/>
                <w:webHidden/>
              </w:rPr>
              <w:fldChar w:fldCharType="end"/>
            </w:r>
          </w:hyperlink>
        </w:p>
        <w:p w14:paraId="00BCB6AA" w14:textId="3F5224B8" w:rsidR="009A6258" w:rsidRDefault="004B0AF1">
          <w:pPr>
            <w:pStyle w:val="TOC4"/>
            <w:tabs>
              <w:tab w:val="right" w:leader="dot" w:pos="9350"/>
            </w:tabs>
            <w:rPr>
              <w:rFonts w:eastAsiaTheme="minorEastAsia"/>
              <w:noProof/>
              <w:kern w:val="0"/>
              <w:sz w:val="22"/>
              <w:szCs w:val="22"/>
              <w14:ligatures w14:val="none"/>
            </w:rPr>
          </w:pPr>
          <w:hyperlink w:anchor="_Toc220693072" w:history="1">
            <w:r w:rsidR="009A6258" w:rsidRPr="000D0BCD">
              <w:rPr>
                <w:rStyle w:val="Hyperlink"/>
                <w:noProof/>
              </w:rPr>
              <w:t>2. Authors Guild v. Google, Inc.</w:t>
            </w:r>
            <w:r w:rsidR="009A6258">
              <w:rPr>
                <w:noProof/>
                <w:webHidden/>
              </w:rPr>
              <w:tab/>
            </w:r>
            <w:r w:rsidR="009A6258">
              <w:rPr>
                <w:noProof/>
                <w:webHidden/>
              </w:rPr>
              <w:fldChar w:fldCharType="begin"/>
            </w:r>
            <w:r w:rsidR="009A6258">
              <w:rPr>
                <w:noProof/>
                <w:webHidden/>
              </w:rPr>
              <w:instrText xml:space="preserve"> PAGEREF _Toc220693072 \h </w:instrText>
            </w:r>
            <w:r w:rsidR="009A6258">
              <w:rPr>
                <w:noProof/>
                <w:webHidden/>
              </w:rPr>
            </w:r>
            <w:r w:rsidR="009A6258">
              <w:rPr>
                <w:noProof/>
                <w:webHidden/>
              </w:rPr>
              <w:fldChar w:fldCharType="separate"/>
            </w:r>
            <w:r w:rsidR="009A6258">
              <w:rPr>
                <w:noProof/>
                <w:webHidden/>
              </w:rPr>
              <w:t>34</w:t>
            </w:r>
            <w:r w:rsidR="009A6258">
              <w:rPr>
                <w:noProof/>
                <w:webHidden/>
              </w:rPr>
              <w:fldChar w:fldCharType="end"/>
            </w:r>
          </w:hyperlink>
        </w:p>
        <w:p w14:paraId="62B84490" w14:textId="001E4FEE" w:rsidR="009A6258" w:rsidRDefault="004B0AF1">
          <w:pPr>
            <w:pStyle w:val="TOC4"/>
            <w:tabs>
              <w:tab w:val="right" w:leader="dot" w:pos="9350"/>
            </w:tabs>
            <w:rPr>
              <w:rFonts w:eastAsiaTheme="minorEastAsia"/>
              <w:noProof/>
              <w:kern w:val="0"/>
              <w:sz w:val="22"/>
              <w:szCs w:val="22"/>
              <w14:ligatures w14:val="none"/>
            </w:rPr>
          </w:pPr>
          <w:hyperlink w:anchor="_Toc220693073" w:history="1">
            <w:r w:rsidR="009A6258" w:rsidRPr="000D0BCD">
              <w:rPr>
                <w:rStyle w:val="Hyperlink"/>
                <w:noProof/>
              </w:rPr>
              <w:t>3. Google LLC v. Oracle America, Inc.</w:t>
            </w:r>
            <w:r w:rsidR="009A6258">
              <w:rPr>
                <w:noProof/>
                <w:webHidden/>
              </w:rPr>
              <w:tab/>
            </w:r>
            <w:r w:rsidR="009A6258">
              <w:rPr>
                <w:noProof/>
                <w:webHidden/>
              </w:rPr>
              <w:fldChar w:fldCharType="begin"/>
            </w:r>
            <w:r w:rsidR="009A6258">
              <w:rPr>
                <w:noProof/>
                <w:webHidden/>
              </w:rPr>
              <w:instrText xml:space="preserve"> PAGEREF _Toc220693073 \h </w:instrText>
            </w:r>
            <w:r w:rsidR="009A6258">
              <w:rPr>
                <w:noProof/>
                <w:webHidden/>
              </w:rPr>
            </w:r>
            <w:r w:rsidR="009A6258">
              <w:rPr>
                <w:noProof/>
                <w:webHidden/>
              </w:rPr>
              <w:fldChar w:fldCharType="separate"/>
            </w:r>
            <w:r w:rsidR="009A6258">
              <w:rPr>
                <w:noProof/>
                <w:webHidden/>
              </w:rPr>
              <w:t>34</w:t>
            </w:r>
            <w:r w:rsidR="009A6258">
              <w:rPr>
                <w:noProof/>
                <w:webHidden/>
              </w:rPr>
              <w:fldChar w:fldCharType="end"/>
            </w:r>
          </w:hyperlink>
        </w:p>
        <w:p w14:paraId="522B39FB" w14:textId="65D1BFD2" w:rsidR="009A6258" w:rsidRDefault="004B0AF1">
          <w:pPr>
            <w:pStyle w:val="TOC4"/>
            <w:tabs>
              <w:tab w:val="right" w:leader="dot" w:pos="9350"/>
            </w:tabs>
            <w:rPr>
              <w:rFonts w:eastAsiaTheme="minorEastAsia"/>
              <w:noProof/>
              <w:kern w:val="0"/>
              <w:sz w:val="22"/>
              <w:szCs w:val="22"/>
              <w14:ligatures w14:val="none"/>
            </w:rPr>
          </w:pPr>
          <w:hyperlink w:anchor="_Toc220693074" w:history="1">
            <w:r w:rsidR="009A6258" w:rsidRPr="000D0BCD">
              <w:rPr>
                <w:rStyle w:val="Hyperlink"/>
                <w:noProof/>
              </w:rPr>
              <w:t>4. Thomson Reuters v. Ross Intelligence, Inc.</w:t>
            </w:r>
            <w:r w:rsidR="009A6258">
              <w:rPr>
                <w:noProof/>
                <w:webHidden/>
              </w:rPr>
              <w:tab/>
            </w:r>
            <w:r w:rsidR="009A6258">
              <w:rPr>
                <w:noProof/>
                <w:webHidden/>
              </w:rPr>
              <w:fldChar w:fldCharType="begin"/>
            </w:r>
            <w:r w:rsidR="009A6258">
              <w:rPr>
                <w:noProof/>
                <w:webHidden/>
              </w:rPr>
              <w:instrText xml:space="preserve"> PAGEREF _Toc220693074 \h </w:instrText>
            </w:r>
            <w:r w:rsidR="009A6258">
              <w:rPr>
                <w:noProof/>
                <w:webHidden/>
              </w:rPr>
            </w:r>
            <w:r w:rsidR="009A6258">
              <w:rPr>
                <w:noProof/>
                <w:webHidden/>
              </w:rPr>
              <w:fldChar w:fldCharType="separate"/>
            </w:r>
            <w:r w:rsidR="009A6258">
              <w:rPr>
                <w:noProof/>
                <w:webHidden/>
              </w:rPr>
              <w:t>35</w:t>
            </w:r>
            <w:r w:rsidR="009A6258">
              <w:rPr>
                <w:noProof/>
                <w:webHidden/>
              </w:rPr>
              <w:fldChar w:fldCharType="end"/>
            </w:r>
          </w:hyperlink>
        </w:p>
        <w:p w14:paraId="5F5C262D" w14:textId="7A2E7B1B" w:rsidR="009A6258" w:rsidRDefault="004B0AF1">
          <w:pPr>
            <w:pStyle w:val="TOC3"/>
            <w:tabs>
              <w:tab w:val="right" w:leader="dot" w:pos="9350"/>
            </w:tabs>
            <w:rPr>
              <w:rFonts w:eastAsiaTheme="minorEastAsia"/>
              <w:noProof/>
              <w:kern w:val="0"/>
              <w:sz w:val="22"/>
              <w:szCs w:val="22"/>
              <w14:ligatures w14:val="none"/>
            </w:rPr>
          </w:pPr>
          <w:hyperlink w:anchor="_Toc220693075" w:history="1">
            <w:r w:rsidR="009A6258" w:rsidRPr="000D0BCD">
              <w:rPr>
                <w:rStyle w:val="Hyperlink"/>
                <w:rFonts w:ascii="Times New Roman" w:eastAsia="Times New Roman" w:hAnsi="Times New Roman" w:cs="Times New Roman"/>
                <w:b/>
                <w:bCs/>
                <w:noProof/>
              </w:rPr>
              <w:t>C. The Generative AI Cases</w:t>
            </w:r>
            <w:r w:rsidR="009A6258">
              <w:rPr>
                <w:noProof/>
                <w:webHidden/>
              </w:rPr>
              <w:tab/>
            </w:r>
            <w:r w:rsidR="009A6258">
              <w:rPr>
                <w:noProof/>
                <w:webHidden/>
              </w:rPr>
              <w:fldChar w:fldCharType="begin"/>
            </w:r>
            <w:r w:rsidR="009A6258">
              <w:rPr>
                <w:noProof/>
                <w:webHidden/>
              </w:rPr>
              <w:instrText xml:space="preserve"> PAGEREF _Toc220693075 \h </w:instrText>
            </w:r>
            <w:r w:rsidR="009A6258">
              <w:rPr>
                <w:noProof/>
                <w:webHidden/>
              </w:rPr>
            </w:r>
            <w:r w:rsidR="009A6258">
              <w:rPr>
                <w:noProof/>
                <w:webHidden/>
              </w:rPr>
              <w:fldChar w:fldCharType="separate"/>
            </w:r>
            <w:r w:rsidR="009A6258">
              <w:rPr>
                <w:noProof/>
                <w:webHidden/>
              </w:rPr>
              <w:t>36</w:t>
            </w:r>
            <w:r w:rsidR="009A6258">
              <w:rPr>
                <w:noProof/>
                <w:webHidden/>
              </w:rPr>
              <w:fldChar w:fldCharType="end"/>
            </w:r>
          </w:hyperlink>
        </w:p>
        <w:p w14:paraId="6D317DF0" w14:textId="4C8D6CAA" w:rsidR="009A6258" w:rsidRDefault="004B0AF1">
          <w:pPr>
            <w:pStyle w:val="TOC4"/>
            <w:tabs>
              <w:tab w:val="right" w:leader="dot" w:pos="9350"/>
            </w:tabs>
            <w:rPr>
              <w:rFonts w:eastAsiaTheme="minorEastAsia"/>
              <w:noProof/>
              <w:kern w:val="0"/>
              <w:sz w:val="22"/>
              <w:szCs w:val="22"/>
              <w14:ligatures w14:val="none"/>
            </w:rPr>
          </w:pPr>
          <w:hyperlink w:anchor="_Toc220693076" w:history="1">
            <w:r w:rsidR="009A6258" w:rsidRPr="000D0BCD">
              <w:rPr>
                <w:rStyle w:val="Hyperlink"/>
                <w:noProof/>
              </w:rPr>
              <w:t>1. GitHub, Copilot, Codex, and the Software Context</w:t>
            </w:r>
            <w:r w:rsidR="009A6258">
              <w:rPr>
                <w:noProof/>
                <w:webHidden/>
              </w:rPr>
              <w:tab/>
            </w:r>
            <w:r w:rsidR="009A6258">
              <w:rPr>
                <w:noProof/>
                <w:webHidden/>
              </w:rPr>
              <w:fldChar w:fldCharType="begin"/>
            </w:r>
            <w:r w:rsidR="009A6258">
              <w:rPr>
                <w:noProof/>
                <w:webHidden/>
              </w:rPr>
              <w:instrText xml:space="preserve"> PAGEREF _Toc220693076 \h </w:instrText>
            </w:r>
            <w:r w:rsidR="009A6258">
              <w:rPr>
                <w:noProof/>
                <w:webHidden/>
              </w:rPr>
            </w:r>
            <w:r w:rsidR="009A6258">
              <w:rPr>
                <w:noProof/>
                <w:webHidden/>
              </w:rPr>
              <w:fldChar w:fldCharType="separate"/>
            </w:r>
            <w:r w:rsidR="009A6258">
              <w:rPr>
                <w:noProof/>
                <w:webHidden/>
              </w:rPr>
              <w:t>36</w:t>
            </w:r>
            <w:r w:rsidR="009A6258">
              <w:rPr>
                <w:noProof/>
                <w:webHidden/>
              </w:rPr>
              <w:fldChar w:fldCharType="end"/>
            </w:r>
          </w:hyperlink>
        </w:p>
        <w:p w14:paraId="1EB9481E" w14:textId="676D3E3F" w:rsidR="009A6258" w:rsidRDefault="004B0AF1">
          <w:pPr>
            <w:pStyle w:val="TOC4"/>
            <w:tabs>
              <w:tab w:val="right" w:leader="dot" w:pos="9350"/>
            </w:tabs>
            <w:rPr>
              <w:rFonts w:eastAsiaTheme="minorEastAsia"/>
              <w:noProof/>
              <w:kern w:val="0"/>
              <w:sz w:val="22"/>
              <w:szCs w:val="22"/>
              <w14:ligatures w14:val="none"/>
            </w:rPr>
          </w:pPr>
          <w:hyperlink w:anchor="_Toc220693077" w:history="1">
            <w:r w:rsidR="009A6258" w:rsidRPr="000D0BCD">
              <w:rPr>
                <w:rStyle w:val="Hyperlink"/>
                <w:noProof/>
              </w:rPr>
              <w:t>2. Andersen v. Stability AI Ltd. and Getty Images v. Stability AI</w:t>
            </w:r>
            <w:r w:rsidR="009A6258">
              <w:rPr>
                <w:noProof/>
                <w:webHidden/>
              </w:rPr>
              <w:tab/>
            </w:r>
            <w:r w:rsidR="009A6258">
              <w:rPr>
                <w:noProof/>
                <w:webHidden/>
              </w:rPr>
              <w:fldChar w:fldCharType="begin"/>
            </w:r>
            <w:r w:rsidR="009A6258">
              <w:rPr>
                <w:noProof/>
                <w:webHidden/>
              </w:rPr>
              <w:instrText xml:space="preserve"> PAGEREF _Toc220693077 \h </w:instrText>
            </w:r>
            <w:r w:rsidR="009A6258">
              <w:rPr>
                <w:noProof/>
                <w:webHidden/>
              </w:rPr>
            </w:r>
            <w:r w:rsidR="009A6258">
              <w:rPr>
                <w:noProof/>
                <w:webHidden/>
              </w:rPr>
              <w:fldChar w:fldCharType="separate"/>
            </w:r>
            <w:r w:rsidR="009A6258">
              <w:rPr>
                <w:noProof/>
                <w:webHidden/>
              </w:rPr>
              <w:t>37</w:t>
            </w:r>
            <w:r w:rsidR="009A6258">
              <w:rPr>
                <w:noProof/>
                <w:webHidden/>
              </w:rPr>
              <w:fldChar w:fldCharType="end"/>
            </w:r>
          </w:hyperlink>
        </w:p>
        <w:p w14:paraId="451057FA" w14:textId="55C4AAF1" w:rsidR="009A6258" w:rsidRDefault="004B0AF1">
          <w:pPr>
            <w:pStyle w:val="TOC4"/>
            <w:tabs>
              <w:tab w:val="right" w:leader="dot" w:pos="9350"/>
            </w:tabs>
            <w:rPr>
              <w:rFonts w:eastAsiaTheme="minorEastAsia"/>
              <w:noProof/>
              <w:kern w:val="0"/>
              <w:sz w:val="22"/>
              <w:szCs w:val="22"/>
              <w14:ligatures w14:val="none"/>
            </w:rPr>
          </w:pPr>
          <w:hyperlink w:anchor="_Toc220693078" w:history="1">
            <w:r w:rsidR="009A6258" w:rsidRPr="000D0BCD">
              <w:rPr>
                <w:rStyle w:val="Hyperlink"/>
                <w:noProof/>
              </w:rPr>
              <w:t>3. Bartz v. Anthropic PBC</w:t>
            </w:r>
            <w:r w:rsidR="009A6258">
              <w:rPr>
                <w:noProof/>
                <w:webHidden/>
              </w:rPr>
              <w:tab/>
            </w:r>
            <w:r w:rsidR="009A6258">
              <w:rPr>
                <w:noProof/>
                <w:webHidden/>
              </w:rPr>
              <w:fldChar w:fldCharType="begin"/>
            </w:r>
            <w:r w:rsidR="009A6258">
              <w:rPr>
                <w:noProof/>
                <w:webHidden/>
              </w:rPr>
              <w:instrText xml:space="preserve"> PAGEREF _Toc220693078 \h </w:instrText>
            </w:r>
            <w:r w:rsidR="009A6258">
              <w:rPr>
                <w:noProof/>
                <w:webHidden/>
              </w:rPr>
            </w:r>
            <w:r w:rsidR="009A6258">
              <w:rPr>
                <w:noProof/>
                <w:webHidden/>
              </w:rPr>
              <w:fldChar w:fldCharType="separate"/>
            </w:r>
            <w:r w:rsidR="009A6258">
              <w:rPr>
                <w:noProof/>
                <w:webHidden/>
              </w:rPr>
              <w:t>39</w:t>
            </w:r>
            <w:r w:rsidR="009A6258">
              <w:rPr>
                <w:noProof/>
                <w:webHidden/>
              </w:rPr>
              <w:fldChar w:fldCharType="end"/>
            </w:r>
          </w:hyperlink>
        </w:p>
        <w:p w14:paraId="1F0BEAB0" w14:textId="72E1C6CC" w:rsidR="009A6258" w:rsidRDefault="004B0AF1">
          <w:pPr>
            <w:pStyle w:val="TOC4"/>
            <w:tabs>
              <w:tab w:val="right" w:leader="dot" w:pos="9350"/>
            </w:tabs>
            <w:rPr>
              <w:rFonts w:eastAsiaTheme="minorEastAsia"/>
              <w:noProof/>
              <w:kern w:val="0"/>
              <w:sz w:val="22"/>
              <w:szCs w:val="22"/>
              <w14:ligatures w14:val="none"/>
            </w:rPr>
          </w:pPr>
          <w:hyperlink w:anchor="_Toc220693079" w:history="1">
            <w:r w:rsidR="009A6258" w:rsidRPr="000D0BCD">
              <w:rPr>
                <w:rStyle w:val="Hyperlink"/>
                <w:noProof/>
              </w:rPr>
              <w:t>4. Kadrey v. Meta</w:t>
            </w:r>
            <w:r w:rsidR="009A6258">
              <w:rPr>
                <w:noProof/>
                <w:webHidden/>
              </w:rPr>
              <w:tab/>
            </w:r>
            <w:r w:rsidR="009A6258">
              <w:rPr>
                <w:noProof/>
                <w:webHidden/>
              </w:rPr>
              <w:fldChar w:fldCharType="begin"/>
            </w:r>
            <w:r w:rsidR="009A6258">
              <w:rPr>
                <w:noProof/>
                <w:webHidden/>
              </w:rPr>
              <w:instrText xml:space="preserve"> PAGEREF _Toc220693079 \h </w:instrText>
            </w:r>
            <w:r w:rsidR="009A6258">
              <w:rPr>
                <w:noProof/>
                <w:webHidden/>
              </w:rPr>
            </w:r>
            <w:r w:rsidR="009A6258">
              <w:rPr>
                <w:noProof/>
                <w:webHidden/>
              </w:rPr>
              <w:fldChar w:fldCharType="separate"/>
            </w:r>
            <w:r w:rsidR="009A6258">
              <w:rPr>
                <w:noProof/>
                <w:webHidden/>
              </w:rPr>
              <w:t>40</w:t>
            </w:r>
            <w:r w:rsidR="009A6258">
              <w:rPr>
                <w:noProof/>
                <w:webHidden/>
              </w:rPr>
              <w:fldChar w:fldCharType="end"/>
            </w:r>
          </w:hyperlink>
        </w:p>
        <w:p w14:paraId="273725C0" w14:textId="4BE6880F" w:rsidR="009A6258" w:rsidRDefault="004B0AF1">
          <w:pPr>
            <w:pStyle w:val="TOC4"/>
            <w:tabs>
              <w:tab w:val="right" w:leader="dot" w:pos="9350"/>
            </w:tabs>
            <w:rPr>
              <w:rFonts w:eastAsiaTheme="minorEastAsia"/>
              <w:noProof/>
              <w:kern w:val="0"/>
              <w:sz w:val="22"/>
              <w:szCs w:val="22"/>
              <w14:ligatures w14:val="none"/>
            </w:rPr>
          </w:pPr>
          <w:hyperlink w:anchor="_Toc220693080" w:history="1">
            <w:r w:rsidR="009A6258" w:rsidRPr="000D0BCD">
              <w:rPr>
                <w:rStyle w:val="Hyperlink"/>
                <w:noProof/>
              </w:rPr>
              <w:t>5. Concord Music v. Anthropic</w:t>
            </w:r>
            <w:r w:rsidR="009A6258">
              <w:rPr>
                <w:noProof/>
                <w:webHidden/>
              </w:rPr>
              <w:tab/>
            </w:r>
            <w:r w:rsidR="009A6258">
              <w:rPr>
                <w:noProof/>
                <w:webHidden/>
              </w:rPr>
              <w:fldChar w:fldCharType="begin"/>
            </w:r>
            <w:r w:rsidR="009A6258">
              <w:rPr>
                <w:noProof/>
                <w:webHidden/>
              </w:rPr>
              <w:instrText xml:space="preserve"> PAGEREF _Toc220693080 \h </w:instrText>
            </w:r>
            <w:r w:rsidR="009A6258">
              <w:rPr>
                <w:noProof/>
                <w:webHidden/>
              </w:rPr>
            </w:r>
            <w:r w:rsidR="009A6258">
              <w:rPr>
                <w:noProof/>
                <w:webHidden/>
              </w:rPr>
              <w:fldChar w:fldCharType="separate"/>
            </w:r>
            <w:r w:rsidR="009A6258">
              <w:rPr>
                <w:noProof/>
                <w:webHidden/>
              </w:rPr>
              <w:t>41</w:t>
            </w:r>
            <w:r w:rsidR="009A6258">
              <w:rPr>
                <w:noProof/>
                <w:webHidden/>
              </w:rPr>
              <w:fldChar w:fldCharType="end"/>
            </w:r>
          </w:hyperlink>
        </w:p>
        <w:p w14:paraId="09AFF8FE" w14:textId="0FB782F9" w:rsidR="009A6258" w:rsidRDefault="004B0AF1">
          <w:pPr>
            <w:pStyle w:val="TOC4"/>
            <w:tabs>
              <w:tab w:val="right" w:leader="dot" w:pos="9350"/>
            </w:tabs>
            <w:rPr>
              <w:rFonts w:eastAsiaTheme="minorEastAsia"/>
              <w:noProof/>
              <w:kern w:val="0"/>
              <w:sz w:val="22"/>
              <w:szCs w:val="22"/>
              <w14:ligatures w14:val="none"/>
            </w:rPr>
          </w:pPr>
          <w:hyperlink w:anchor="_Toc220693081" w:history="1">
            <w:r w:rsidR="009A6258" w:rsidRPr="000D0BCD">
              <w:rPr>
                <w:rStyle w:val="Hyperlink"/>
                <w:noProof/>
              </w:rPr>
              <w:t>6. New York Times Co. v. Microsoft; OpenAI and the Consolidated Cases</w:t>
            </w:r>
            <w:r w:rsidR="009A6258">
              <w:rPr>
                <w:noProof/>
                <w:webHidden/>
              </w:rPr>
              <w:tab/>
            </w:r>
            <w:r w:rsidR="009A6258">
              <w:rPr>
                <w:noProof/>
                <w:webHidden/>
              </w:rPr>
              <w:fldChar w:fldCharType="begin"/>
            </w:r>
            <w:r w:rsidR="009A6258">
              <w:rPr>
                <w:noProof/>
                <w:webHidden/>
              </w:rPr>
              <w:instrText xml:space="preserve"> PAGEREF _Toc220693081 \h </w:instrText>
            </w:r>
            <w:r w:rsidR="009A6258">
              <w:rPr>
                <w:noProof/>
                <w:webHidden/>
              </w:rPr>
            </w:r>
            <w:r w:rsidR="009A6258">
              <w:rPr>
                <w:noProof/>
                <w:webHidden/>
              </w:rPr>
              <w:fldChar w:fldCharType="separate"/>
            </w:r>
            <w:r w:rsidR="009A6258">
              <w:rPr>
                <w:noProof/>
                <w:webHidden/>
              </w:rPr>
              <w:t>42</w:t>
            </w:r>
            <w:r w:rsidR="009A6258">
              <w:rPr>
                <w:noProof/>
                <w:webHidden/>
              </w:rPr>
              <w:fldChar w:fldCharType="end"/>
            </w:r>
          </w:hyperlink>
        </w:p>
        <w:p w14:paraId="3EEFCB44" w14:textId="5F476DC4" w:rsidR="009A6258" w:rsidRDefault="004B0AF1">
          <w:pPr>
            <w:pStyle w:val="TOC2"/>
            <w:tabs>
              <w:tab w:val="right" w:leader="dot" w:pos="9350"/>
            </w:tabs>
            <w:rPr>
              <w:rFonts w:eastAsiaTheme="minorEastAsia"/>
              <w:noProof/>
              <w:kern w:val="0"/>
              <w:sz w:val="22"/>
              <w:szCs w:val="22"/>
              <w14:ligatures w14:val="none"/>
            </w:rPr>
          </w:pPr>
          <w:hyperlink w:anchor="_Toc220693082" w:history="1">
            <w:r w:rsidR="009A6258" w:rsidRPr="000D0BCD">
              <w:rPr>
                <w:rStyle w:val="Hyperlink"/>
                <w:rFonts w:ascii="Times New Roman" w:eastAsia="Times New Roman" w:hAnsi="Times New Roman" w:cs="Times New Roman"/>
                <w:b/>
                <w:bCs/>
                <w:noProof/>
              </w:rPr>
              <w:t>PART VIII. EVOLUTION OF A NEW “AI-GENERATED” BUILDING BLOCK</w:t>
            </w:r>
            <w:r w:rsidR="009A6258">
              <w:rPr>
                <w:noProof/>
                <w:webHidden/>
              </w:rPr>
              <w:tab/>
            </w:r>
            <w:r w:rsidR="009A6258">
              <w:rPr>
                <w:noProof/>
                <w:webHidden/>
              </w:rPr>
              <w:fldChar w:fldCharType="begin"/>
            </w:r>
            <w:r w:rsidR="009A6258">
              <w:rPr>
                <w:noProof/>
                <w:webHidden/>
              </w:rPr>
              <w:instrText xml:space="preserve"> PAGEREF _Toc220693082 \h </w:instrText>
            </w:r>
            <w:r w:rsidR="009A6258">
              <w:rPr>
                <w:noProof/>
                <w:webHidden/>
              </w:rPr>
            </w:r>
            <w:r w:rsidR="009A6258">
              <w:rPr>
                <w:noProof/>
                <w:webHidden/>
              </w:rPr>
              <w:fldChar w:fldCharType="separate"/>
            </w:r>
            <w:r w:rsidR="009A6258">
              <w:rPr>
                <w:noProof/>
                <w:webHidden/>
              </w:rPr>
              <w:t>44</w:t>
            </w:r>
            <w:r w:rsidR="009A6258">
              <w:rPr>
                <w:noProof/>
                <w:webHidden/>
              </w:rPr>
              <w:fldChar w:fldCharType="end"/>
            </w:r>
          </w:hyperlink>
        </w:p>
        <w:p w14:paraId="1055C2E0" w14:textId="39ADCD7C" w:rsidR="009A6258" w:rsidRDefault="004B0AF1">
          <w:pPr>
            <w:pStyle w:val="TOC3"/>
            <w:tabs>
              <w:tab w:val="right" w:leader="dot" w:pos="9350"/>
            </w:tabs>
            <w:rPr>
              <w:rFonts w:eastAsiaTheme="minorEastAsia"/>
              <w:noProof/>
              <w:kern w:val="0"/>
              <w:sz w:val="22"/>
              <w:szCs w:val="22"/>
              <w14:ligatures w14:val="none"/>
            </w:rPr>
          </w:pPr>
          <w:hyperlink w:anchor="_Toc220693083" w:history="1">
            <w:r w:rsidR="009A6258" w:rsidRPr="000D0BCD">
              <w:rPr>
                <w:rStyle w:val="Hyperlink"/>
                <w:rFonts w:ascii="Times New Roman" w:eastAsia="Times New Roman" w:hAnsi="Times New Roman" w:cs="Times New Roman"/>
                <w:b/>
                <w:bCs/>
                <w:noProof/>
              </w:rPr>
              <w:t>A. Training</w:t>
            </w:r>
            <w:r w:rsidR="009A6258">
              <w:rPr>
                <w:noProof/>
                <w:webHidden/>
              </w:rPr>
              <w:tab/>
            </w:r>
            <w:r w:rsidR="009A6258">
              <w:rPr>
                <w:noProof/>
                <w:webHidden/>
              </w:rPr>
              <w:fldChar w:fldCharType="begin"/>
            </w:r>
            <w:r w:rsidR="009A6258">
              <w:rPr>
                <w:noProof/>
                <w:webHidden/>
              </w:rPr>
              <w:instrText xml:space="preserve"> PAGEREF _Toc220693083 \h </w:instrText>
            </w:r>
            <w:r w:rsidR="009A6258">
              <w:rPr>
                <w:noProof/>
                <w:webHidden/>
              </w:rPr>
            </w:r>
            <w:r w:rsidR="009A6258">
              <w:rPr>
                <w:noProof/>
                <w:webHidden/>
              </w:rPr>
              <w:fldChar w:fldCharType="separate"/>
            </w:r>
            <w:r w:rsidR="009A6258">
              <w:rPr>
                <w:noProof/>
                <w:webHidden/>
              </w:rPr>
              <w:t>44</w:t>
            </w:r>
            <w:r w:rsidR="009A6258">
              <w:rPr>
                <w:noProof/>
                <w:webHidden/>
              </w:rPr>
              <w:fldChar w:fldCharType="end"/>
            </w:r>
          </w:hyperlink>
        </w:p>
        <w:p w14:paraId="4521D6AE" w14:textId="0AAF1346" w:rsidR="009A6258" w:rsidRDefault="004B0AF1">
          <w:pPr>
            <w:pStyle w:val="TOC3"/>
            <w:tabs>
              <w:tab w:val="right" w:leader="dot" w:pos="9350"/>
            </w:tabs>
            <w:rPr>
              <w:rFonts w:eastAsiaTheme="minorEastAsia"/>
              <w:noProof/>
              <w:kern w:val="0"/>
              <w:sz w:val="22"/>
              <w:szCs w:val="22"/>
              <w14:ligatures w14:val="none"/>
            </w:rPr>
          </w:pPr>
          <w:hyperlink w:anchor="_Toc220693084" w:history="1">
            <w:r w:rsidR="009A6258" w:rsidRPr="000D0BCD">
              <w:rPr>
                <w:rStyle w:val="Hyperlink"/>
                <w:rFonts w:ascii="Times New Roman" w:eastAsia="Times New Roman" w:hAnsi="Times New Roman" w:cs="Times New Roman"/>
                <w:b/>
                <w:bCs/>
                <w:noProof/>
              </w:rPr>
              <w:t>B. Output: Infringement</w:t>
            </w:r>
            <w:r w:rsidR="009A6258">
              <w:rPr>
                <w:noProof/>
                <w:webHidden/>
              </w:rPr>
              <w:tab/>
            </w:r>
            <w:r w:rsidR="009A6258">
              <w:rPr>
                <w:noProof/>
                <w:webHidden/>
              </w:rPr>
              <w:fldChar w:fldCharType="begin"/>
            </w:r>
            <w:r w:rsidR="009A6258">
              <w:rPr>
                <w:noProof/>
                <w:webHidden/>
              </w:rPr>
              <w:instrText xml:space="preserve"> PAGEREF _Toc220693084 \h </w:instrText>
            </w:r>
            <w:r w:rsidR="009A6258">
              <w:rPr>
                <w:noProof/>
                <w:webHidden/>
              </w:rPr>
            </w:r>
            <w:r w:rsidR="009A6258">
              <w:rPr>
                <w:noProof/>
                <w:webHidden/>
              </w:rPr>
              <w:fldChar w:fldCharType="separate"/>
            </w:r>
            <w:r w:rsidR="009A6258">
              <w:rPr>
                <w:noProof/>
                <w:webHidden/>
              </w:rPr>
              <w:t>47</w:t>
            </w:r>
            <w:r w:rsidR="009A6258">
              <w:rPr>
                <w:noProof/>
                <w:webHidden/>
              </w:rPr>
              <w:fldChar w:fldCharType="end"/>
            </w:r>
          </w:hyperlink>
        </w:p>
        <w:p w14:paraId="3E3599BE" w14:textId="5C14A532" w:rsidR="009A6258" w:rsidRDefault="004B0AF1">
          <w:pPr>
            <w:pStyle w:val="TOC3"/>
            <w:tabs>
              <w:tab w:val="right" w:leader="dot" w:pos="9350"/>
            </w:tabs>
            <w:rPr>
              <w:rFonts w:eastAsiaTheme="minorEastAsia"/>
              <w:noProof/>
              <w:kern w:val="0"/>
              <w:sz w:val="22"/>
              <w:szCs w:val="22"/>
              <w14:ligatures w14:val="none"/>
            </w:rPr>
          </w:pPr>
          <w:hyperlink w:anchor="_Toc220693085" w:history="1">
            <w:r w:rsidR="009A6258" w:rsidRPr="000D0BCD">
              <w:rPr>
                <w:rStyle w:val="Hyperlink"/>
                <w:rFonts w:ascii="Times New Roman" w:eastAsia="Times New Roman" w:hAnsi="Times New Roman" w:cs="Times New Roman"/>
                <w:b/>
                <w:bCs/>
                <w:noProof/>
              </w:rPr>
              <w:t>C. Output: Copyrightability</w:t>
            </w:r>
            <w:r w:rsidR="009A6258">
              <w:rPr>
                <w:noProof/>
                <w:webHidden/>
              </w:rPr>
              <w:tab/>
            </w:r>
            <w:r w:rsidR="009A6258">
              <w:rPr>
                <w:noProof/>
                <w:webHidden/>
              </w:rPr>
              <w:fldChar w:fldCharType="begin"/>
            </w:r>
            <w:r w:rsidR="009A6258">
              <w:rPr>
                <w:noProof/>
                <w:webHidden/>
              </w:rPr>
              <w:instrText xml:space="preserve"> PAGEREF _Toc220693085 \h </w:instrText>
            </w:r>
            <w:r w:rsidR="009A6258">
              <w:rPr>
                <w:noProof/>
                <w:webHidden/>
              </w:rPr>
            </w:r>
            <w:r w:rsidR="009A6258">
              <w:rPr>
                <w:noProof/>
                <w:webHidden/>
              </w:rPr>
              <w:fldChar w:fldCharType="separate"/>
            </w:r>
            <w:r w:rsidR="009A6258">
              <w:rPr>
                <w:noProof/>
                <w:webHidden/>
              </w:rPr>
              <w:t>48</w:t>
            </w:r>
            <w:r w:rsidR="009A6258">
              <w:rPr>
                <w:noProof/>
                <w:webHidden/>
              </w:rPr>
              <w:fldChar w:fldCharType="end"/>
            </w:r>
          </w:hyperlink>
        </w:p>
        <w:p w14:paraId="2957E145" w14:textId="6F310BB3" w:rsidR="009A6258" w:rsidRDefault="004B0AF1">
          <w:pPr>
            <w:pStyle w:val="TOC3"/>
            <w:tabs>
              <w:tab w:val="right" w:leader="dot" w:pos="9350"/>
            </w:tabs>
            <w:rPr>
              <w:rFonts w:eastAsiaTheme="minorEastAsia"/>
              <w:noProof/>
              <w:kern w:val="0"/>
              <w:sz w:val="22"/>
              <w:szCs w:val="22"/>
              <w14:ligatures w14:val="none"/>
            </w:rPr>
          </w:pPr>
          <w:hyperlink w:anchor="_Toc220693086" w:history="1">
            <w:r w:rsidR="009A6258" w:rsidRPr="000D0BCD">
              <w:rPr>
                <w:rStyle w:val="Hyperlink"/>
                <w:rFonts w:ascii="Times New Roman" w:eastAsia="Times New Roman" w:hAnsi="Times New Roman" w:cs="Times New Roman"/>
                <w:b/>
                <w:bCs/>
                <w:noProof/>
              </w:rPr>
              <w:t>D. The Newest Building Block</w:t>
            </w:r>
            <w:r w:rsidR="009A6258">
              <w:rPr>
                <w:noProof/>
                <w:webHidden/>
              </w:rPr>
              <w:tab/>
            </w:r>
            <w:r w:rsidR="009A6258">
              <w:rPr>
                <w:noProof/>
                <w:webHidden/>
              </w:rPr>
              <w:fldChar w:fldCharType="begin"/>
            </w:r>
            <w:r w:rsidR="009A6258">
              <w:rPr>
                <w:noProof/>
                <w:webHidden/>
              </w:rPr>
              <w:instrText xml:space="preserve"> PAGEREF _Toc220693086 \h </w:instrText>
            </w:r>
            <w:r w:rsidR="009A6258">
              <w:rPr>
                <w:noProof/>
                <w:webHidden/>
              </w:rPr>
            </w:r>
            <w:r w:rsidR="009A6258">
              <w:rPr>
                <w:noProof/>
                <w:webHidden/>
              </w:rPr>
              <w:fldChar w:fldCharType="separate"/>
            </w:r>
            <w:r w:rsidR="009A6258">
              <w:rPr>
                <w:noProof/>
                <w:webHidden/>
              </w:rPr>
              <w:t>48</w:t>
            </w:r>
            <w:r w:rsidR="009A6258">
              <w:rPr>
                <w:noProof/>
                <w:webHidden/>
              </w:rPr>
              <w:fldChar w:fldCharType="end"/>
            </w:r>
          </w:hyperlink>
        </w:p>
        <w:p w14:paraId="2B69E657" w14:textId="13CEDFED" w:rsidR="009A6258" w:rsidRDefault="004B0AF1">
          <w:pPr>
            <w:pStyle w:val="TOC2"/>
            <w:tabs>
              <w:tab w:val="right" w:leader="dot" w:pos="9350"/>
            </w:tabs>
            <w:rPr>
              <w:rFonts w:eastAsiaTheme="minorEastAsia"/>
              <w:noProof/>
              <w:kern w:val="0"/>
              <w:sz w:val="22"/>
              <w:szCs w:val="22"/>
              <w14:ligatures w14:val="none"/>
            </w:rPr>
          </w:pPr>
          <w:hyperlink w:anchor="_Toc220693087" w:history="1">
            <w:r w:rsidR="009A6258" w:rsidRPr="000D0BCD">
              <w:rPr>
                <w:rStyle w:val="Hyperlink"/>
                <w:rFonts w:ascii="Times New Roman" w:eastAsia="Times New Roman" w:hAnsi="Times New Roman" w:cs="Times New Roman"/>
                <w:b/>
                <w:bCs/>
                <w:noProof/>
              </w:rPr>
              <w:t>CONCLUSION</w:t>
            </w:r>
            <w:r w:rsidR="009A6258">
              <w:rPr>
                <w:noProof/>
                <w:webHidden/>
              </w:rPr>
              <w:tab/>
            </w:r>
            <w:r w:rsidR="009A6258">
              <w:rPr>
                <w:noProof/>
                <w:webHidden/>
              </w:rPr>
              <w:fldChar w:fldCharType="begin"/>
            </w:r>
            <w:r w:rsidR="009A6258">
              <w:rPr>
                <w:noProof/>
                <w:webHidden/>
              </w:rPr>
              <w:instrText xml:space="preserve"> PAGEREF _Toc220693087 \h </w:instrText>
            </w:r>
            <w:r w:rsidR="009A6258">
              <w:rPr>
                <w:noProof/>
                <w:webHidden/>
              </w:rPr>
            </w:r>
            <w:r w:rsidR="009A6258">
              <w:rPr>
                <w:noProof/>
                <w:webHidden/>
              </w:rPr>
              <w:fldChar w:fldCharType="separate"/>
            </w:r>
            <w:r w:rsidR="009A6258">
              <w:rPr>
                <w:noProof/>
                <w:webHidden/>
              </w:rPr>
              <w:t>49</w:t>
            </w:r>
            <w:r w:rsidR="009A6258">
              <w:rPr>
                <w:noProof/>
                <w:webHidden/>
              </w:rPr>
              <w:fldChar w:fldCharType="end"/>
            </w:r>
          </w:hyperlink>
        </w:p>
        <w:p w14:paraId="5A6539FB" w14:textId="76B3FFD7" w:rsidR="00884D26" w:rsidRDefault="00884D26">
          <w:r>
            <w:fldChar w:fldCharType="end"/>
          </w:r>
        </w:p>
      </w:sdtContent>
    </w:sdt>
    <w:p w14:paraId="7F8B62CA" w14:textId="3C64506B" w:rsidR="00421276" w:rsidRPr="00421276" w:rsidRDefault="001D58EA" w:rsidP="009C0CB0">
      <w:pPr>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bookmarkStart w:id="1" w:name="_Hlk221204788"/>
      <w:r w:rsidR="00421276" w:rsidRPr="00421276">
        <w:rPr>
          <w:rFonts w:ascii="Times New Roman" w:eastAsia="Times New Roman" w:hAnsi="Times New Roman" w:cs="Times New Roman"/>
          <w:b/>
          <w:bCs/>
          <w:kern w:val="0"/>
          <w:sz w:val="36"/>
          <w:szCs w:val="36"/>
          <w14:ligatures w14:val="none"/>
        </w:rPr>
        <w:lastRenderedPageBreak/>
        <w:t>INTRODUCTION</w:t>
      </w:r>
    </w:p>
    <w:p w14:paraId="2159DF23" w14:textId="1CC61570" w:rsidR="00421276" w:rsidRPr="00421276" w:rsidRDefault="00421276"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The story of copyright is one of continuity amid disruption. Each technological innovation—whether the printing press, photography, the phonograph, or the digital computer—has prompted predictions that copyright’s foundations would crack under the weight of change. Yet each time, the law adapt</w:t>
      </w:r>
      <w:r w:rsidR="00E1481A">
        <w:rPr>
          <w:rFonts w:ascii="Times New Roman" w:eastAsia="Times New Roman" w:hAnsi="Times New Roman" w:cs="Times New Roman"/>
          <w:kern w:val="0"/>
          <w14:ligatures w14:val="none"/>
        </w:rPr>
        <w:t>s</w:t>
      </w:r>
      <w:r w:rsidRPr="00421276">
        <w:rPr>
          <w:rFonts w:ascii="Times New Roman" w:eastAsia="Times New Roman" w:hAnsi="Times New Roman" w:cs="Times New Roman"/>
          <w:kern w:val="0"/>
          <w14:ligatures w14:val="none"/>
        </w:rPr>
        <w:t xml:space="preserve"> without reinventing itself. The familiar principles of authorship, originality, and fair use have proven remarkably resilient. As the old adage goes, </w:t>
      </w:r>
      <w:r w:rsidRPr="00421276">
        <w:rPr>
          <w:rFonts w:ascii="Times New Roman" w:eastAsia="Times New Roman" w:hAnsi="Times New Roman" w:cs="Times New Roman"/>
          <w:i/>
          <w:iCs/>
          <w:kern w:val="0"/>
          <w14:ligatures w14:val="none"/>
        </w:rPr>
        <w:t>the more things change, the more they remain the same.</w:t>
      </w:r>
    </w:p>
    <w:p w14:paraId="0FD21005" w14:textId="23BD5602" w:rsidR="00421276" w:rsidRPr="00421276" w:rsidRDefault="00421276"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Artificial intelligence now joins that long line of disruptive technologies. Generative models capable of producing </w:t>
      </w:r>
      <w:r w:rsidR="00141BBB" w:rsidRPr="00421276">
        <w:rPr>
          <w:rFonts w:ascii="Times New Roman" w:eastAsia="Times New Roman" w:hAnsi="Times New Roman" w:cs="Times New Roman"/>
          <w:kern w:val="0"/>
          <w14:ligatures w14:val="none"/>
        </w:rPr>
        <w:t>text,</w:t>
      </w:r>
      <w:r w:rsidR="00141BBB">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 xml:space="preserve">images, and music that resemble human creations have raised urgent questions about whether copyright’s traditional doctrines are still sufficient. </w:t>
      </w:r>
      <w:r w:rsidR="00E90554" w:rsidRPr="00421276">
        <w:rPr>
          <w:rFonts w:ascii="Times New Roman" w:eastAsia="Times New Roman" w:hAnsi="Times New Roman" w:cs="Times New Roman"/>
          <w:kern w:val="0"/>
          <w14:ligatures w14:val="none"/>
        </w:rPr>
        <w:t xml:space="preserve">Does the ingestion of millions of copyrighted works to train a model constitute infringement or fair use? </w:t>
      </w:r>
      <w:r w:rsidRPr="00421276">
        <w:rPr>
          <w:rFonts w:ascii="Times New Roman" w:eastAsia="Times New Roman" w:hAnsi="Times New Roman" w:cs="Times New Roman"/>
          <w:kern w:val="0"/>
          <w14:ligatures w14:val="none"/>
        </w:rPr>
        <w:t>Are AI-assisted works entitled to protection? And if the output of these systems imitates a creator’s “style” or “voice,” do we face a new form of appropriation—or merely a new way of expressing old ideas?</w:t>
      </w:r>
    </w:p>
    <w:p w14:paraId="08BD3C2D" w14:textId="7AC1B0F0" w:rsidR="00421276" w:rsidRPr="00421276" w:rsidRDefault="005E2CD8" w:rsidP="004212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421276" w:rsidRPr="00421276">
        <w:rPr>
          <w:rFonts w:ascii="Times New Roman" w:eastAsia="Times New Roman" w:hAnsi="Times New Roman" w:cs="Times New Roman"/>
          <w:kern w:val="0"/>
          <w14:ligatures w14:val="none"/>
        </w:rPr>
        <w:t xml:space="preserve">he same cases that define the modern boundaries of </w:t>
      </w:r>
      <w:r w:rsidR="006D00DF">
        <w:rPr>
          <w:rFonts w:ascii="Times New Roman" w:eastAsia="Times New Roman" w:hAnsi="Times New Roman" w:cs="Times New Roman"/>
          <w:kern w:val="0"/>
          <w14:ligatures w14:val="none"/>
        </w:rPr>
        <w:t>copyrigh</w:t>
      </w:r>
      <w:r w:rsidR="00421276" w:rsidRPr="00421276">
        <w:rPr>
          <w:rFonts w:ascii="Times New Roman" w:eastAsia="Times New Roman" w:hAnsi="Times New Roman" w:cs="Times New Roman"/>
          <w:kern w:val="0"/>
          <w14:ligatures w14:val="none"/>
        </w:rPr>
        <w:t>t—</w:t>
      </w:r>
      <w:r w:rsidR="006D00DF">
        <w:rPr>
          <w:rFonts w:ascii="Times New Roman" w:eastAsia="Times New Roman" w:hAnsi="Times New Roman" w:cs="Times New Roman"/>
          <w:kern w:val="0"/>
          <w14:ligatures w14:val="none"/>
        </w:rPr>
        <w:t xml:space="preserve"> </w:t>
      </w:r>
      <w:r w:rsidR="00421276" w:rsidRPr="00421276">
        <w:rPr>
          <w:rFonts w:ascii="Times New Roman" w:eastAsia="Times New Roman" w:hAnsi="Times New Roman" w:cs="Times New Roman"/>
          <w:i/>
          <w:iCs/>
          <w:kern w:val="0"/>
          <w14:ligatures w14:val="none"/>
        </w:rPr>
        <w:t>Baker v. Selden</w:t>
      </w:r>
      <w:r w:rsidR="00421276" w:rsidRPr="00421276">
        <w:rPr>
          <w:rFonts w:ascii="Times New Roman" w:eastAsia="Times New Roman" w:hAnsi="Times New Roman" w:cs="Times New Roman"/>
          <w:kern w:val="0"/>
          <w14:ligatures w14:val="none"/>
        </w:rPr>
        <w:t xml:space="preserve">, </w:t>
      </w:r>
      <w:r w:rsidR="00C31FC4" w:rsidRPr="00B86AB1">
        <w:rPr>
          <w:rFonts w:ascii="Times New Roman" w:hAnsi="Times New Roman" w:cs="Times New Roman"/>
          <w:i/>
          <w:iCs/>
        </w:rPr>
        <w:t>Feist Publications v. Rural Telephone</w:t>
      </w:r>
      <w:r w:rsidR="00421276" w:rsidRPr="00421276">
        <w:rPr>
          <w:rFonts w:ascii="Times New Roman" w:eastAsia="Times New Roman" w:hAnsi="Times New Roman" w:cs="Times New Roman"/>
          <w:kern w:val="0"/>
          <w14:ligatures w14:val="none"/>
        </w:rPr>
        <w:t xml:space="preserve">, </w:t>
      </w:r>
      <w:r w:rsidR="00C31FC4" w:rsidRPr="00C31FC4">
        <w:rPr>
          <w:rFonts w:ascii="Times New Roman" w:hAnsi="Times New Roman" w:cs="Times New Roman"/>
          <w:i/>
          <w:iCs/>
        </w:rPr>
        <w:t>Atari v. N</w:t>
      </w:r>
      <w:r w:rsidR="00C31FC4">
        <w:rPr>
          <w:rFonts w:ascii="Times New Roman" w:hAnsi="Times New Roman" w:cs="Times New Roman"/>
          <w:i/>
          <w:iCs/>
        </w:rPr>
        <w:t>orth</w:t>
      </w:r>
      <w:r w:rsidR="00C31FC4" w:rsidRPr="00C31FC4">
        <w:rPr>
          <w:rFonts w:ascii="Times New Roman" w:hAnsi="Times New Roman" w:cs="Times New Roman"/>
          <w:i/>
          <w:iCs/>
        </w:rPr>
        <w:t xml:space="preserve"> Am</w:t>
      </w:r>
      <w:r w:rsidR="00C31FC4">
        <w:rPr>
          <w:rFonts w:ascii="Times New Roman" w:hAnsi="Times New Roman" w:cs="Times New Roman"/>
          <w:i/>
          <w:iCs/>
        </w:rPr>
        <w:t>erican</w:t>
      </w:r>
      <w:r w:rsidR="00C31FC4" w:rsidRPr="00C31FC4">
        <w:rPr>
          <w:rFonts w:ascii="Times New Roman" w:hAnsi="Times New Roman" w:cs="Times New Roman"/>
          <w:i/>
          <w:iCs/>
        </w:rPr>
        <w:t xml:space="preserve"> Philips</w:t>
      </w:r>
      <w:r w:rsidR="00421276" w:rsidRPr="00421276">
        <w:rPr>
          <w:rFonts w:ascii="Times New Roman" w:eastAsia="Times New Roman" w:hAnsi="Times New Roman" w:cs="Times New Roman"/>
          <w:kern w:val="0"/>
          <w14:ligatures w14:val="none"/>
        </w:rPr>
        <w:t xml:space="preserve">, </w:t>
      </w:r>
      <w:r w:rsidR="00C31FC4" w:rsidRPr="00C31FC4">
        <w:rPr>
          <w:rFonts w:ascii="Times New Roman" w:eastAsia="Times New Roman" w:hAnsi="Times New Roman" w:cs="Times New Roman"/>
          <w:i/>
          <w:iCs/>
          <w:kern w:val="0"/>
          <w14:ligatures w14:val="none"/>
        </w:rPr>
        <w:t>Campbell v. Acuff-Rose Music</w:t>
      </w:r>
      <w:r w:rsidR="00421276" w:rsidRPr="00421276">
        <w:rPr>
          <w:rFonts w:ascii="Times New Roman" w:eastAsia="Times New Roman" w:hAnsi="Times New Roman" w:cs="Times New Roman"/>
          <w:kern w:val="0"/>
          <w14:ligatures w14:val="none"/>
        </w:rPr>
        <w:t xml:space="preserve">, </w:t>
      </w:r>
      <w:r w:rsidR="00421276" w:rsidRPr="00421276">
        <w:rPr>
          <w:rFonts w:ascii="Times New Roman" w:eastAsia="Times New Roman" w:hAnsi="Times New Roman" w:cs="Times New Roman"/>
          <w:i/>
          <w:iCs/>
          <w:kern w:val="0"/>
          <w14:ligatures w14:val="none"/>
        </w:rPr>
        <w:t>Warhol</w:t>
      </w:r>
      <w:r w:rsidR="006D00DF" w:rsidRPr="006D00DF">
        <w:rPr>
          <w:rFonts w:ascii="Times New Roman" w:eastAsia="Times New Roman" w:hAnsi="Times New Roman" w:cs="Times New Roman"/>
          <w:i/>
          <w:iCs/>
          <w:kern w:val="0"/>
          <w14:ligatures w14:val="none"/>
        </w:rPr>
        <w:t xml:space="preserve"> v. Goldsmith</w:t>
      </w:r>
      <w:r>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Cs/>
          <w:kern w:val="0"/>
          <w14:ligatures w14:val="none"/>
        </w:rPr>
        <w:t>and others</w:t>
      </w:r>
      <w:r w:rsidR="006D00DF" w:rsidRPr="00421276">
        <w:rPr>
          <w:rFonts w:ascii="Times New Roman" w:eastAsia="Times New Roman" w:hAnsi="Times New Roman" w:cs="Times New Roman"/>
          <w:kern w:val="0"/>
          <w14:ligatures w14:val="none"/>
        </w:rPr>
        <w:t xml:space="preserve"> </w:t>
      </w:r>
      <w:r w:rsidR="00421276" w:rsidRPr="00421276">
        <w:rPr>
          <w:rFonts w:ascii="Times New Roman" w:eastAsia="Times New Roman" w:hAnsi="Times New Roman" w:cs="Times New Roman"/>
          <w:kern w:val="0"/>
          <w14:ligatures w14:val="none"/>
        </w:rPr>
        <w:t>—</w:t>
      </w:r>
      <w:r w:rsidR="006D00DF">
        <w:rPr>
          <w:rFonts w:ascii="Times New Roman" w:eastAsia="Times New Roman" w:hAnsi="Times New Roman" w:cs="Times New Roman"/>
          <w:kern w:val="0"/>
          <w14:ligatures w14:val="none"/>
        </w:rPr>
        <w:t xml:space="preserve"> </w:t>
      </w:r>
      <w:r w:rsidR="00421276" w:rsidRPr="00421276">
        <w:rPr>
          <w:rFonts w:ascii="Times New Roman" w:eastAsia="Times New Roman" w:hAnsi="Times New Roman" w:cs="Times New Roman"/>
          <w:kern w:val="0"/>
          <w14:ligatures w14:val="none"/>
        </w:rPr>
        <w:t xml:space="preserve">remain at the heart of today’s AI controversies. The doctrines those decisions shaped form the </w:t>
      </w:r>
      <w:r w:rsidR="00421276" w:rsidRPr="00C01127">
        <w:rPr>
          <w:rFonts w:ascii="Times New Roman" w:eastAsia="Times New Roman" w:hAnsi="Times New Roman" w:cs="Times New Roman"/>
          <w:kern w:val="0"/>
          <w14:ligatures w14:val="none"/>
        </w:rPr>
        <w:t>building blocks</w:t>
      </w:r>
      <w:r w:rsidR="00421276" w:rsidRPr="00421276">
        <w:rPr>
          <w:rFonts w:ascii="Times New Roman" w:eastAsia="Times New Roman" w:hAnsi="Times New Roman" w:cs="Times New Roman"/>
          <w:kern w:val="0"/>
          <w14:ligatures w14:val="none"/>
        </w:rPr>
        <w:t xml:space="preserve"> </w:t>
      </w:r>
      <w:r w:rsidR="006830AE">
        <w:rPr>
          <w:rFonts w:ascii="Times New Roman" w:eastAsia="Times New Roman" w:hAnsi="Times New Roman" w:cs="Times New Roman"/>
          <w:kern w:val="0"/>
          <w14:ligatures w14:val="none"/>
        </w:rPr>
        <w:t>up</w:t>
      </w:r>
      <w:r w:rsidR="00421276" w:rsidRPr="00421276">
        <w:rPr>
          <w:rFonts w:ascii="Times New Roman" w:eastAsia="Times New Roman" w:hAnsi="Times New Roman" w:cs="Times New Roman"/>
          <w:kern w:val="0"/>
          <w14:ligatures w14:val="none"/>
        </w:rPr>
        <w:t xml:space="preserve">on which copyright </w:t>
      </w:r>
      <w:r w:rsidR="001F5191">
        <w:rPr>
          <w:rFonts w:ascii="Times New Roman" w:eastAsia="Times New Roman" w:hAnsi="Times New Roman" w:cs="Times New Roman"/>
          <w:kern w:val="0"/>
          <w14:ligatures w14:val="none"/>
        </w:rPr>
        <w:t xml:space="preserve">law </w:t>
      </w:r>
      <w:r w:rsidR="00421276" w:rsidRPr="00421276">
        <w:rPr>
          <w:rFonts w:ascii="Times New Roman" w:eastAsia="Times New Roman" w:hAnsi="Times New Roman" w:cs="Times New Roman"/>
          <w:kern w:val="0"/>
          <w14:ligatures w14:val="none"/>
        </w:rPr>
        <w:t>has always rested. They are not relics</w:t>
      </w:r>
      <w:r w:rsidR="006830AE">
        <w:rPr>
          <w:rFonts w:ascii="Times New Roman" w:eastAsia="Times New Roman" w:hAnsi="Times New Roman" w:cs="Times New Roman"/>
          <w:kern w:val="0"/>
          <w14:ligatures w14:val="none"/>
        </w:rPr>
        <w:t>. T</w:t>
      </w:r>
      <w:r w:rsidR="00421276" w:rsidRPr="00421276">
        <w:rPr>
          <w:rFonts w:ascii="Times New Roman" w:eastAsia="Times New Roman" w:hAnsi="Times New Roman" w:cs="Times New Roman"/>
          <w:kern w:val="0"/>
          <w14:ligatures w14:val="none"/>
        </w:rPr>
        <w:t xml:space="preserve">hey are the architecture of the system itself. </w:t>
      </w:r>
      <w:r w:rsidR="003F2846" w:rsidRPr="003F2846">
        <w:rPr>
          <w:rFonts w:ascii="Times New Roman" w:eastAsia="Times New Roman" w:hAnsi="Times New Roman" w:cs="Times New Roman"/>
          <w:kern w:val="0"/>
          <w14:ligatures w14:val="none"/>
        </w:rPr>
        <w:t xml:space="preserve">What has changed is not the law’s foundation but </w:t>
      </w:r>
      <w:r w:rsidR="006830AE">
        <w:rPr>
          <w:rFonts w:ascii="Times New Roman" w:eastAsia="Times New Roman" w:hAnsi="Times New Roman" w:cs="Times New Roman"/>
          <w:kern w:val="0"/>
          <w14:ligatures w14:val="none"/>
        </w:rPr>
        <w:t xml:space="preserve">rather </w:t>
      </w:r>
      <w:r w:rsidR="003F2846" w:rsidRPr="003F2846">
        <w:rPr>
          <w:rFonts w:ascii="Times New Roman" w:eastAsia="Times New Roman" w:hAnsi="Times New Roman" w:cs="Times New Roman"/>
          <w:kern w:val="0"/>
          <w14:ligatures w14:val="none"/>
        </w:rPr>
        <w:t xml:space="preserve">the complexity of the structures we build on it. The </w:t>
      </w:r>
      <w:r w:rsidR="00880CB8">
        <w:rPr>
          <w:rFonts w:ascii="Times New Roman" w:eastAsia="Times New Roman" w:hAnsi="Times New Roman" w:cs="Times New Roman"/>
          <w:kern w:val="0"/>
          <w14:ligatures w14:val="none"/>
        </w:rPr>
        <w:t xml:space="preserve">Copyright </w:t>
      </w:r>
      <w:r w:rsidR="00BE0AAB">
        <w:rPr>
          <w:rFonts w:ascii="Times New Roman" w:eastAsia="Times New Roman" w:hAnsi="Times New Roman" w:cs="Times New Roman"/>
          <w:kern w:val="0"/>
          <w14:ligatures w14:val="none"/>
        </w:rPr>
        <w:t>Office</w:t>
      </w:r>
      <w:r w:rsidR="003F2846" w:rsidRPr="003F2846">
        <w:rPr>
          <w:rFonts w:ascii="Times New Roman" w:eastAsia="Times New Roman" w:hAnsi="Times New Roman" w:cs="Times New Roman"/>
          <w:kern w:val="0"/>
          <w14:ligatures w14:val="none"/>
        </w:rPr>
        <w:t>’s</w:t>
      </w:r>
      <w:r w:rsidR="00213323">
        <w:rPr>
          <w:rFonts w:ascii="Times New Roman" w:eastAsia="Times New Roman" w:hAnsi="Times New Roman" w:cs="Times New Roman"/>
          <w:kern w:val="0"/>
          <w14:ligatures w14:val="none"/>
        </w:rPr>
        <w:t xml:space="preserve"> </w:t>
      </w:r>
      <w:r w:rsidR="003F2846" w:rsidRPr="003F2846">
        <w:rPr>
          <w:rFonts w:ascii="Times New Roman" w:eastAsia="Times New Roman" w:hAnsi="Times New Roman" w:cs="Times New Roman"/>
          <w:kern w:val="0"/>
          <w14:ligatures w14:val="none"/>
        </w:rPr>
        <w:t>ongoing Copyright and Artificial Intelligence stud</w:t>
      </w:r>
      <w:r w:rsidR="00BA0C15">
        <w:rPr>
          <w:rFonts w:ascii="Times New Roman" w:eastAsia="Times New Roman" w:hAnsi="Times New Roman" w:cs="Times New Roman"/>
          <w:kern w:val="0"/>
          <w14:ligatures w14:val="none"/>
        </w:rPr>
        <w:t>ies</w:t>
      </w:r>
      <w:r w:rsidR="003F2846" w:rsidRPr="003F2846">
        <w:rPr>
          <w:rFonts w:ascii="Times New Roman" w:eastAsia="Times New Roman" w:hAnsi="Times New Roman" w:cs="Times New Roman"/>
          <w:kern w:val="0"/>
          <w14:ligatures w14:val="none"/>
        </w:rPr>
        <w:t xml:space="preserve"> illustrate this complexity, identifying the principal questions now confronting policymakers and courts</w:t>
      </w:r>
      <w:r w:rsidR="003F2846">
        <w:rPr>
          <w:rFonts w:ascii="Times New Roman" w:eastAsia="Times New Roman" w:hAnsi="Times New Roman" w:cs="Times New Roman"/>
          <w:kern w:val="0"/>
          <w14:ligatures w14:val="none"/>
        </w:rPr>
        <w:t>.</w:t>
      </w:r>
      <w:r w:rsidR="003F2846">
        <w:rPr>
          <w:rStyle w:val="FootnoteReference"/>
          <w:rFonts w:ascii="Times New Roman" w:eastAsia="Times New Roman" w:hAnsi="Times New Roman" w:cs="Times New Roman"/>
          <w:kern w:val="0"/>
          <w14:ligatures w14:val="none"/>
        </w:rPr>
        <w:footnoteReference w:id="1"/>
      </w:r>
    </w:p>
    <w:p w14:paraId="5EBA5234" w14:textId="2795E3DE" w:rsidR="00421276" w:rsidRPr="00421276" w:rsidRDefault="00421276"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lastRenderedPageBreak/>
        <w:t xml:space="preserve">These building blocks—authorship, the idea–expression dichotomy, originality and compilations, substantial similarity, </w:t>
      </w:r>
      <w:r w:rsidR="007C4597">
        <w:rPr>
          <w:rFonts w:ascii="Times New Roman" w:eastAsia="Times New Roman" w:hAnsi="Times New Roman" w:cs="Times New Roman"/>
          <w:kern w:val="0"/>
          <w14:ligatures w14:val="none"/>
        </w:rPr>
        <w:t>f</w:t>
      </w:r>
      <w:r w:rsidR="005E2CD8">
        <w:rPr>
          <w:rFonts w:ascii="Times New Roman" w:eastAsia="Times New Roman" w:hAnsi="Times New Roman" w:cs="Times New Roman"/>
          <w:kern w:val="0"/>
          <w14:ligatures w14:val="none"/>
        </w:rPr>
        <w:t xml:space="preserve">air </w:t>
      </w:r>
      <w:r w:rsidRPr="00421276">
        <w:rPr>
          <w:rFonts w:ascii="Times New Roman" w:eastAsia="Times New Roman" w:hAnsi="Times New Roman" w:cs="Times New Roman"/>
          <w:kern w:val="0"/>
          <w14:ligatures w14:val="none"/>
        </w:rPr>
        <w:t xml:space="preserve">use, and </w:t>
      </w:r>
      <w:r w:rsidR="005E2CD8" w:rsidRPr="00421276">
        <w:rPr>
          <w:rFonts w:ascii="Times New Roman" w:eastAsia="Times New Roman" w:hAnsi="Times New Roman" w:cs="Times New Roman"/>
          <w:kern w:val="0"/>
          <w14:ligatures w14:val="none"/>
        </w:rPr>
        <w:t xml:space="preserve">transformative </w:t>
      </w:r>
      <w:r w:rsidRPr="00421276">
        <w:rPr>
          <w:rFonts w:ascii="Times New Roman" w:eastAsia="Times New Roman" w:hAnsi="Times New Roman" w:cs="Times New Roman"/>
          <w:kern w:val="0"/>
          <w14:ligatures w14:val="none"/>
        </w:rPr>
        <w:t>use—have evolved through analog and digital revolutions alike. Each offers insight into AI’s challenges. The idea</w:t>
      </w:r>
      <w:r w:rsidR="005E2CD8">
        <w:rPr>
          <w:rFonts w:ascii="Times New Roman" w:eastAsia="Times New Roman" w:hAnsi="Times New Roman" w:cs="Times New Roman"/>
          <w:kern w:val="0"/>
          <w14:ligatures w14:val="none"/>
        </w:rPr>
        <w:t>-</w:t>
      </w:r>
      <w:r w:rsidRPr="00421276">
        <w:rPr>
          <w:rFonts w:ascii="Times New Roman" w:eastAsia="Times New Roman" w:hAnsi="Times New Roman" w:cs="Times New Roman"/>
          <w:kern w:val="0"/>
          <w14:ligatures w14:val="none"/>
        </w:rPr>
        <w:t xml:space="preserve">expression </w:t>
      </w:r>
      <w:r w:rsidR="005E2CD8">
        <w:rPr>
          <w:rFonts w:ascii="Times New Roman" w:eastAsia="Times New Roman" w:hAnsi="Times New Roman" w:cs="Times New Roman"/>
          <w:kern w:val="0"/>
          <w14:ligatures w14:val="none"/>
        </w:rPr>
        <w:t>dichotomy</w:t>
      </w:r>
      <w:r w:rsidRPr="00421276">
        <w:rPr>
          <w:rFonts w:ascii="Times New Roman" w:eastAsia="Times New Roman" w:hAnsi="Times New Roman" w:cs="Times New Roman"/>
          <w:kern w:val="0"/>
          <w14:ligatures w14:val="none"/>
        </w:rPr>
        <w:t xml:space="preserve"> reminds us that copyright protects only the tangible manifestation of </w:t>
      </w:r>
      <w:r w:rsidR="005E2CD8">
        <w:rPr>
          <w:rFonts w:ascii="Times New Roman" w:eastAsia="Times New Roman" w:hAnsi="Times New Roman" w:cs="Times New Roman"/>
          <w:kern w:val="0"/>
          <w14:ligatures w14:val="none"/>
        </w:rPr>
        <w:t>original or creative expression</w:t>
      </w:r>
      <w:r w:rsidRPr="00421276">
        <w:rPr>
          <w:rFonts w:ascii="Times New Roman" w:eastAsia="Times New Roman" w:hAnsi="Times New Roman" w:cs="Times New Roman"/>
          <w:kern w:val="0"/>
          <w14:ligatures w14:val="none"/>
        </w:rPr>
        <w:t xml:space="preserve">, not the </w:t>
      </w:r>
      <w:r w:rsidR="006830AE">
        <w:rPr>
          <w:rFonts w:ascii="Times New Roman" w:eastAsia="Times New Roman" w:hAnsi="Times New Roman" w:cs="Times New Roman"/>
          <w:kern w:val="0"/>
          <w14:ligatures w14:val="none"/>
        </w:rPr>
        <w:t xml:space="preserve">underlying </w:t>
      </w:r>
      <w:r w:rsidRPr="00421276">
        <w:rPr>
          <w:rFonts w:ascii="Times New Roman" w:eastAsia="Times New Roman" w:hAnsi="Times New Roman" w:cs="Times New Roman"/>
          <w:kern w:val="0"/>
          <w14:ligatures w14:val="none"/>
        </w:rPr>
        <w:t xml:space="preserve">idea.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teaches </w:t>
      </w:r>
      <w:r w:rsidR="006830AE">
        <w:rPr>
          <w:rFonts w:ascii="Times New Roman" w:eastAsia="Times New Roman" w:hAnsi="Times New Roman" w:cs="Times New Roman"/>
          <w:kern w:val="0"/>
          <w14:ligatures w14:val="none"/>
        </w:rPr>
        <w:t xml:space="preserve">us </w:t>
      </w:r>
      <w:r w:rsidRPr="00421276">
        <w:rPr>
          <w:rFonts w:ascii="Times New Roman" w:eastAsia="Times New Roman" w:hAnsi="Times New Roman" w:cs="Times New Roman"/>
          <w:kern w:val="0"/>
          <w14:ligatures w14:val="none"/>
        </w:rPr>
        <w:t xml:space="preserve">that vast effort </w:t>
      </w:r>
      <w:r w:rsidR="00E90554">
        <w:rPr>
          <w:rFonts w:ascii="Times New Roman" w:eastAsia="Times New Roman" w:hAnsi="Times New Roman" w:cs="Times New Roman"/>
          <w:kern w:val="0"/>
          <w14:ligatures w14:val="none"/>
        </w:rPr>
        <w:t xml:space="preserve">itself </w:t>
      </w:r>
      <w:r w:rsidRPr="00421276">
        <w:rPr>
          <w:rFonts w:ascii="Times New Roman" w:eastAsia="Times New Roman" w:hAnsi="Times New Roman" w:cs="Times New Roman"/>
          <w:kern w:val="0"/>
          <w14:ligatures w14:val="none"/>
        </w:rPr>
        <w:t xml:space="preserve">cannot substitute for originality. </w:t>
      </w:r>
      <w:r w:rsidRPr="00421276">
        <w:rPr>
          <w:rFonts w:ascii="Times New Roman" w:eastAsia="Times New Roman" w:hAnsi="Times New Roman" w:cs="Times New Roman"/>
          <w:i/>
          <w:iCs/>
          <w:kern w:val="0"/>
          <w14:ligatures w14:val="none"/>
        </w:rPr>
        <w:t>Atari</w:t>
      </w:r>
      <w:r w:rsidRPr="00421276">
        <w:rPr>
          <w:rFonts w:ascii="Times New Roman" w:eastAsia="Times New Roman" w:hAnsi="Times New Roman" w:cs="Times New Roman"/>
          <w:kern w:val="0"/>
          <w14:ligatures w14:val="none"/>
        </w:rPr>
        <w:t xml:space="preserve">’s “look and feel” jurisprudence </w:t>
      </w:r>
      <w:r w:rsidR="006830AE">
        <w:rPr>
          <w:rFonts w:ascii="Times New Roman" w:eastAsia="Times New Roman" w:hAnsi="Times New Roman" w:cs="Times New Roman"/>
          <w:kern w:val="0"/>
          <w14:ligatures w14:val="none"/>
        </w:rPr>
        <w:t>helps define</w:t>
      </w:r>
      <w:r w:rsidRPr="00421276">
        <w:rPr>
          <w:rFonts w:ascii="Times New Roman" w:eastAsia="Times New Roman" w:hAnsi="Times New Roman" w:cs="Times New Roman"/>
          <w:kern w:val="0"/>
          <w14:ligatures w14:val="none"/>
        </w:rPr>
        <w:t xml:space="preserve"> our struggle to separate style from substance. </w:t>
      </w:r>
      <w:r w:rsidRPr="00421276">
        <w:rPr>
          <w:rFonts w:ascii="Times New Roman" w:eastAsia="Times New Roman" w:hAnsi="Times New Roman" w:cs="Times New Roman"/>
          <w:i/>
          <w:iCs/>
          <w:kern w:val="0"/>
          <w14:ligatures w14:val="none"/>
        </w:rPr>
        <w:t>Campbell</w:t>
      </w:r>
      <w:r w:rsidRPr="00421276">
        <w:rPr>
          <w:rFonts w:ascii="Times New Roman" w:eastAsia="Times New Roman" w:hAnsi="Times New Roman" w:cs="Times New Roman"/>
          <w:kern w:val="0"/>
          <w14:ligatures w14:val="none"/>
        </w:rPr>
        <w:t xml:space="preserve"> demonstrates that transformation, not mere use, defines fair use. </w:t>
      </w:r>
      <w:r w:rsidR="006830AE" w:rsidRPr="006830AE">
        <w:rPr>
          <w:rFonts w:ascii="Times New Roman" w:eastAsia="Times New Roman" w:hAnsi="Times New Roman" w:cs="Times New Roman"/>
          <w:i/>
          <w:kern w:val="0"/>
          <w14:ligatures w14:val="none"/>
        </w:rPr>
        <w:t>Warhol</w:t>
      </w:r>
      <w:r w:rsidR="006830AE">
        <w:rPr>
          <w:rFonts w:ascii="Times New Roman" w:eastAsia="Times New Roman" w:hAnsi="Times New Roman" w:cs="Times New Roman"/>
          <w:kern w:val="0"/>
          <w14:ligatures w14:val="none"/>
        </w:rPr>
        <w:t xml:space="preserve"> recalibrates the balance between transformation and market effect. </w:t>
      </w:r>
      <w:r w:rsidRPr="00421276">
        <w:rPr>
          <w:rFonts w:ascii="Times New Roman" w:eastAsia="Times New Roman" w:hAnsi="Times New Roman" w:cs="Times New Roman"/>
          <w:kern w:val="0"/>
          <w14:ligatures w14:val="none"/>
        </w:rPr>
        <w:t xml:space="preserve">And the human-authorship cases, from </w:t>
      </w:r>
      <w:r w:rsidR="006D00DF" w:rsidRPr="006D00DF">
        <w:rPr>
          <w:rFonts w:ascii="Times New Roman" w:eastAsia="Times New Roman" w:hAnsi="Times New Roman" w:cs="Times New Roman"/>
          <w:i/>
          <w:iCs/>
          <w:kern w:val="0"/>
          <w14:ligatures w14:val="none"/>
        </w:rPr>
        <w:t>Burrow-Giles Lithographic Co. v. Sarony</w:t>
      </w:r>
      <w:r w:rsidR="006D00DF">
        <w:rPr>
          <w:rFonts w:ascii="Times New Roman" w:eastAsia="Times New Roman" w:hAnsi="Times New Roman" w:cs="Times New Roman"/>
          <w:kern w:val="0"/>
          <w14:ligatures w14:val="none"/>
        </w:rPr>
        <w:t xml:space="preserve"> </w:t>
      </w:r>
      <w:r w:rsidR="007B480F">
        <w:rPr>
          <w:rFonts w:ascii="Times New Roman" w:eastAsia="Times New Roman" w:hAnsi="Times New Roman" w:cs="Times New Roman"/>
          <w:kern w:val="0"/>
          <w14:ligatures w14:val="none"/>
        </w:rPr>
        <w:t xml:space="preserve">to </w:t>
      </w:r>
      <w:r w:rsidR="007B480F" w:rsidRPr="007B480F">
        <w:rPr>
          <w:rFonts w:ascii="Times New Roman" w:eastAsia="Times New Roman" w:hAnsi="Times New Roman" w:cs="Times New Roman"/>
          <w:i/>
          <w:iCs/>
          <w:kern w:val="0"/>
          <w14:ligatures w14:val="none"/>
        </w:rPr>
        <w:t>N</w:t>
      </w:r>
      <w:r w:rsidR="007B480F">
        <w:rPr>
          <w:rFonts w:ascii="Times New Roman" w:eastAsia="Times New Roman" w:hAnsi="Times New Roman" w:cs="Times New Roman"/>
          <w:i/>
          <w:iCs/>
          <w:kern w:val="0"/>
          <w14:ligatures w14:val="none"/>
        </w:rPr>
        <w:t>aru</w:t>
      </w:r>
      <w:r w:rsidR="007B480F" w:rsidRPr="007B480F">
        <w:rPr>
          <w:rFonts w:ascii="Times New Roman" w:eastAsia="Times New Roman" w:hAnsi="Times New Roman" w:cs="Times New Roman"/>
          <w:i/>
          <w:iCs/>
          <w:kern w:val="0"/>
          <w14:ligatures w14:val="none"/>
        </w:rPr>
        <w:t>to</w:t>
      </w:r>
      <w:r w:rsidR="007B480F" w:rsidRPr="006D00DF">
        <w:rPr>
          <w:rFonts w:ascii="Times New Roman" w:eastAsia="Times New Roman" w:hAnsi="Times New Roman" w:cs="Times New Roman"/>
          <w:i/>
          <w:iCs/>
          <w:kern w:val="0"/>
          <w14:ligatures w14:val="none"/>
        </w:rPr>
        <w:t xml:space="preserve"> </w:t>
      </w:r>
      <w:r w:rsidR="006D00DF" w:rsidRPr="006D00DF">
        <w:rPr>
          <w:rFonts w:ascii="Times New Roman" w:eastAsia="Times New Roman" w:hAnsi="Times New Roman" w:cs="Times New Roman"/>
          <w:i/>
          <w:iCs/>
          <w:kern w:val="0"/>
          <w14:ligatures w14:val="none"/>
        </w:rPr>
        <w:t>v. Slater</w:t>
      </w:r>
      <w:r w:rsidR="006D00DF">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 xml:space="preserve">to </w:t>
      </w:r>
      <w:r w:rsidR="006D00DF" w:rsidRPr="006D00DF">
        <w:rPr>
          <w:rFonts w:ascii="Times New Roman" w:eastAsia="Times New Roman" w:hAnsi="Times New Roman" w:cs="Times New Roman"/>
          <w:i/>
          <w:iCs/>
          <w:kern w:val="0"/>
          <w14:ligatures w14:val="none"/>
        </w:rPr>
        <w:t>Thaler v. Perlmutter</w:t>
      </w:r>
      <w:r w:rsidRPr="00421276">
        <w:rPr>
          <w:rFonts w:ascii="Times New Roman" w:eastAsia="Times New Roman" w:hAnsi="Times New Roman" w:cs="Times New Roman"/>
          <w:kern w:val="0"/>
          <w14:ligatures w14:val="none"/>
        </w:rPr>
        <w:t xml:space="preserve">, force us to </w:t>
      </w:r>
      <w:r w:rsidR="007C4597">
        <w:rPr>
          <w:rFonts w:ascii="Times New Roman" w:eastAsia="Times New Roman" w:hAnsi="Times New Roman" w:cs="Times New Roman"/>
          <w:kern w:val="0"/>
          <w14:ligatures w14:val="none"/>
        </w:rPr>
        <w:t xml:space="preserve">assess the division </w:t>
      </w:r>
      <w:r w:rsidR="006830AE">
        <w:rPr>
          <w:rFonts w:ascii="Times New Roman" w:eastAsia="Times New Roman" w:hAnsi="Times New Roman" w:cs="Times New Roman"/>
          <w:kern w:val="0"/>
          <w14:ligatures w14:val="none"/>
        </w:rPr>
        <w:t xml:space="preserve">between </w:t>
      </w:r>
      <w:r w:rsidR="007C4597">
        <w:rPr>
          <w:rFonts w:ascii="Times New Roman" w:eastAsia="Times New Roman" w:hAnsi="Times New Roman" w:cs="Times New Roman"/>
          <w:kern w:val="0"/>
          <w14:ligatures w14:val="none"/>
        </w:rPr>
        <w:t>and the degree of creativity necessary for human and machine</w:t>
      </w:r>
      <w:r w:rsidRPr="00421276">
        <w:rPr>
          <w:rFonts w:ascii="Times New Roman" w:eastAsia="Times New Roman" w:hAnsi="Times New Roman" w:cs="Times New Roman"/>
          <w:kern w:val="0"/>
          <w14:ligatures w14:val="none"/>
        </w:rPr>
        <w:t xml:space="preserve"> </w:t>
      </w:r>
      <w:r w:rsidR="007C4597">
        <w:rPr>
          <w:rFonts w:ascii="Times New Roman" w:eastAsia="Times New Roman" w:hAnsi="Times New Roman" w:cs="Times New Roman"/>
          <w:kern w:val="0"/>
          <w14:ligatures w14:val="none"/>
        </w:rPr>
        <w:t>originators of expression.</w:t>
      </w:r>
    </w:p>
    <w:p w14:paraId="2CF07626" w14:textId="39AF06B7" w:rsidR="00421276" w:rsidRPr="00421276" w:rsidRDefault="00C918DC" w:rsidP="004212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decade </w:t>
      </w:r>
      <w:r w:rsidR="00421276" w:rsidRPr="00421276">
        <w:rPr>
          <w:rFonts w:ascii="Times New Roman" w:eastAsia="Times New Roman" w:hAnsi="Times New Roman" w:cs="Times New Roman"/>
          <w:kern w:val="0"/>
          <w14:ligatures w14:val="none"/>
        </w:rPr>
        <w:t xml:space="preserve">ago, </w:t>
      </w:r>
      <w:r w:rsidR="001D08A1">
        <w:rPr>
          <w:rFonts w:ascii="Times New Roman" w:eastAsia="Times New Roman" w:hAnsi="Times New Roman" w:cs="Times New Roman"/>
          <w:kern w:val="0"/>
          <w14:ligatures w14:val="none"/>
        </w:rPr>
        <w:t>my</w:t>
      </w:r>
      <w:r w:rsidR="00421276" w:rsidRPr="00421276">
        <w:rPr>
          <w:rFonts w:ascii="Times New Roman" w:eastAsia="Times New Roman" w:hAnsi="Times New Roman" w:cs="Times New Roman"/>
          <w:kern w:val="0"/>
          <w14:ligatures w14:val="none"/>
        </w:rPr>
        <w:t xml:space="preserve"> </w:t>
      </w:r>
      <w:r w:rsidR="009A578D">
        <w:rPr>
          <w:rFonts w:ascii="Times New Roman" w:eastAsia="Times New Roman" w:hAnsi="Times New Roman" w:cs="Times New Roman"/>
          <w:kern w:val="0"/>
          <w14:ligatures w14:val="none"/>
        </w:rPr>
        <w:t>hypothetical</w:t>
      </w:r>
      <w:r w:rsidR="00421276" w:rsidRPr="00421276">
        <w:rPr>
          <w:rFonts w:ascii="Times New Roman" w:eastAsia="Times New Roman" w:hAnsi="Times New Roman" w:cs="Times New Roman"/>
          <w:kern w:val="0"/>
          <w14:ligatures w14:val="none"/>
        </w:rPr>
        <w:t xml:space="preserve"> “Band Hero on Steroids</w:t>
      </w:r>
      <w:r w:rsidR="00792F84">
        <w:rPr>
          <w:rFonts w:ascii="Times New Roman" w:eastAsia="Times New Roman" w:hAnsi="Times New Roman" w:cs="Times New Roman"/>
          <w:kern w:val="0"/>
          <w14:ligatures w14:val="none"/>
        </w:rPr>
        <w:t>,</w:t>
      </w:r>
      <w:r w:rsidR="00421276" w:rsidRPr="00421276">
        <w:rPr>
          <w:rFonts w:ascii="Times New Roman" w:eastAsia="Times New Roman" w:hAnsi="Times New Roman" w:cs="Times New Roman"/>
          <w:kern w:val="0"/>
          <w14:ligatures w14:val="none"/>
        </w:rPr>
        <w:t>”</w:t>
      </w:r>
      <w:r w:rsidR="00792F84">
        <w:rPr>
          <w:rFonts w:ascii="Times New Roman" w:eastAsia="Times New Roman" w:hAnsi="Times New Roman" w:cs="Times New Roman"/>
          <w:kern w:val="0"/>
          <w14:ligatures w14:val="none"/>
        </w:rPr>
        <w:t xml:space="preserve"> in which users could request the generation and performance of songs in the style of any </w:t>
      </w:r>
      <w:r w:rsidR="00E90554">
        <w:rPr>
          <w:rFonts w:ascii="Times New Roman" w:eastAsia="Times New Roman" w:hAnsi="Times New Roman" w:cs="Times New Roman"/>
          <w:kern w:val="0"/>
          <w14:ligatures w14:val="none"/>
        </w:rPr>
        <w:t xml:space="preserve">musical </w:t>
      </w:r>
      <w:r w:rsidR="00792F84">
        <w:rPr>
          <w:rFonts w:ascii="Times New Roman" w:eastAsia="Times New Roman" w:hAnsi="Times New Roman" w:cs="Times New Roman"/>
          <w:kern w:val="0"/>
          <w14:ligatures w14:val="none"/>
        </w:rPr>
        <w:t>performer simply by providing words, or music, or style, was</w:t>
      </w:r>
      <w:r w:rsidR="00421276" w:rsidRPr="00421276">
        <w:rPr>
          <w:rFonts w:ascii="Times New Roman" w:eastAsia="Times New Roman" w:hAnsi="Times New Roman" w:cs="Times New Roman"/>
          <w:kern w:val="0"/>
          <w14:ligatures w14:val="none"/>
        </w:rPr>
        <w:t xml:space="preserve"> speculative.</w:t>
      </w:r>
      <w:r w:rsidRPr="00C918DC">
        <w:rPr>
          <w:rStyle w:val="FootnoteReference"/>
          <w:rFonts w:ascii="Times New Roman" w:eastAsia="Times New Roman" w:hAnsi="Times New Roman" w:cs="Times New Roman"/>
          <w:kern w:val="0"/>
          <w14:ligatures w14:val="none"/>
        </w:rPr>
        <w:t xml:space="preserve"> </w:t>
      </w:r>
      <w:r>
        <w:rPr>
          <w:rStyle w:val="FootnoteReference"/>
          <w:rFonts w:ascii="Times New Roman" w:eastAsia="Times New Roman" w:hAnsi="Times New Roman" w:cs="Times New Roman"/>
          <w:kern w:val="0"/>
          <w14:ligatures w14:val="none"/>
        </w:rPr>
        <w:footnoteReference w:id="2"/>
      </w:r>
      <w:r w:rsidR="00421276" w:rsidRPr="00421276">
        <w:rPr>
          <w:rFonts w:ascii="Times New Roman" w:eastAsia="Times New Roman" w:hAnsi="Times New Roman" w:cs="Times New Roman"/>
          <w:kern w:val="0"/>
          <w14:ligatures w14:val="none"/>
        </w:rPr>
        <w:t xml:space="preserve"> </w:t>
      </w:r>
      <w:r w:rsidR="00421276" w:rsidRPr="00BE0AAB">
        <w:rPr>
          <w:rFonts w:ascii="Times New Roman" w:eastAsia="Times New Roman" w:hAnsi="Times New Roman" w:cs="Times New Roman"/>
          <w:iCs/>
          <w:kern w:val="0"/>
          <w14:ligatures w14:val="none"/>
        </w:rPr>
        <w:t>Today</w:t>
      </w:r>
      <w:r w:rsidR="00421276" w:rsidRPr="00421276">
        <w:rPr>
          <w:rFonts w:ascii="Times New Roman" w:eastAsia="Times New Roman" w:hAnsi="Times New Roman" w:cs="Times New Roman"/>
          <w:kern w:val="0"/>
          <w14:ligatures w14:val="none"/>
        </w:rPr>
        <w:t xml:space="preserve">, it is reality. AI can replicate voices, likenesses, and artistic “vibes” with uncanny precision. Yet the legal questions such scenarios raise </w:t>
      </w:r>
      <w:r w:rsidR="005E2CD8">
        <w:rPr>
          <w:rFonts w:ascii="Times New Roman" w:eastAsia="Times New Roman" w:hAnsi="Times New Roman" w:cs="Times New Roman"/>
          <w:kern w:val="0"/>
          <w14:ligatures w14:val="none"/>
        </w:rPr>
        <w:t xml:space="preserve">now </w:t>
      </w:r>
      <w:r w:rsidR="00421276" w:rsidRPr="00421276">
        <w:rPr>
          <w:rFonts w:ascii="Times New Roman" w:eastAsia="Times New Roman" w:hAnsi="Times New Roman" w:cs="Times New Roman"/>
          <w:kern w:val="0"/>
          <w14:ligatures w14:val="none"/>
        </w:rPr>
        <w:t>are not new</w:t>
      </w:r>
      <w:r w:rsidR="00D34724">
        <w:rPr>
          <w:rFonts w:ascii="Times New Roman" w:eastAsia="Times New Roman" w:hAnsi="Times New Roman" w:cs="Times New Roman"/>
          <w:kern w:val="0"/>
          <w14:ligatures w14:val="none"/>
        </w:rPr>
        <w:t>. T</w:t>
      </w:r>
      <w:r w:rsidR="00421276" w:rsidRPr="00421276">
        <w:rPr>
          <w:rFonts w:ascii="Times New Roman" w:eastAsia="Times New Roman" w:hAnsi="Times New Roman" w:cs="Times New Roman"/>
          <w:kern w:val="0"/>
          <w14:ligatures w14:val="none"/>
        </w:rPr>
        <w:t xml:space="preserve">hey are variations on the same themes </w:t>
      </w:r>
      <w:r w:rsidR="007B480F">
        <w:rPr>
          <w:rFonts w:ascii="Times New Roman" w:eastAsia="Times New Roman" w:hAnsi="Times New Roman" w:cs="Times New Roman"/>
          <w:kern w:val="0"/>
          <w14:ligatures w14:val="none"/>
        </w:rPr>
        <w:t xml:space="preserve">that </w:t>
      </w:r>
      <w:r w:rsidR="00421276" w:rsidRPr="00421276">
        <w:rPr>
          <w:rFonts w:ascii="Times New Roman" w:eastAsia="Times New Roman" w:hAnsi="Times New Roman" w:cs="Times New Roman"/>
          <w:kern w:val="0"/>
          <w14:ligatures w14:val="none"/>
        </w:rPr>
        <w:t>courts have addressed for more than a century.</w:t>
      </w:r>
    </w:p>
    <w:p w14:paraId="1FF160CE" w14:textId="0271539B" w:rsidR="00421276" w:rsidRPr="00421276" w:rsidRDefault="00F406AE" w:rsidP="00421276">
      <w:pPr>
        <w:spacing w:before="100" w:beforeAutospacing="1" w:after="100" w:afterAutospacing="1" w:line="240" w:lineRule="auto"/>
        <w:rPr>
          <w:rFonts w:ascii="Times New Roman" w:eastAsia="Times New Roman" w:hAnsi="Times New Roman" w:cs="Times New Roman"/>
          <w:kern w:val="0"/>
          <w14:ligatures w14:val="none"/>
        </w:rPr>
      </w:pPr>
      <w:r w:rsidRPr="00F406AE">
        <w:rPr>
          <w:rFonts w:ascii="Times New Roman" w:eastAsia="Times New Roman" w:hAnsi="Times New Roman" w:cs="Times New Roman"/>
          <w:kern w:val="0"/>
          <w14:ligatures w14:val="none"/>
        </w:rPr>
        <w:t xml:space="preserve">The analysis that follows proceeds from copyright’s foundations to their application in the age of artificial intelligence: Part I </w:t>
      </w:r>
      <w:r w:rsidR="00E90554">
        <w:rPr>
          <w:rFonts w:ascii="Times New Roman" w:eastAsia="Times New Roman" w:hAnsi="Times New Roman" w:cs="Times New Roman"/>
          <w:kern w:val="0"/>
          <w14:ligatures w14:val="none"/>
        </w:rPr>
        <w:t>explores</w:t>
      </w:r>
      <w:r w:rsidRPr="00F406AE">
        <w:rPr>
          <w:rFonts w:ascii="Times New Roman" w:eastAsia="Times New Roman" w:hAnsi="Times New Roman" w:cs="Times New Roman"/>
          <w:kern w:val="0"/>
          <w14:ligatures w14:val="none"/>
        </w:rPr>
        <w:t xml:space="preserve"> the idea–expression dichotomy and the notion of thin copyright</w:t>
      </w:r>
      <w:r w:rsidR="007B480F">
        <w:rPr>
          <w:rFonts w:ascii="Times New Roman" w:eastAsia="Times New Roman" w:hAnsi="Times New Roman" w:cs="Times New Roman"/>
          <w:kern w:val="0"/>
          <w14:ligatures w14:val="none"/>
        </w:rPr>
        <w:t xml:space="preserve"> protection</w:t>
      </w:r>
      <w:r w:rsidRPr="00F406AE">
        <w:rPr>
          <w:rFonts w:ascii="Times New Roman" w:eastAsia="Times New Roman" w:hAnsi="Times New Roman" w:cs="Times New Roman"/>
          <w:kern w:val="0"/>
          <w14:ligatures w14:val="none"/>
        </w:rPr>
        <w:t xml:space="preserve">; Part II examines originality, compilations, and the enduring lessons of </w:t>
      </w:r>
      <w:r w:rsidRPr="00F406AE">
        <w:rPr>
          <w:rFonts w:ascii="Times New Roman" w:eastAsia="Times New Roman" w:hAnsi="Times New Roman" w:cs="Times New Roman"/>
          <w:i/>
          <w:iCs/>
          <w:kern w:val="0"/>
          <w14:ligatures w14:val="none"/>
        </w:rPr>
        <w:t>Feist</w:t>
      </w:r>
      <w:r w:rsidRPr="00F406AE">
        <w:rPr>
          <w:rFonts w:ascii="Times New Roman" w:eastAsia="Times New Roman" w:hAnsi="Times New Roman" w:cs="Times New Roman"/>
          <w:kern w:val="0"/>
          <w14:ligatures w14:val="none"/>
        </w:rPr>
        <w:t xml:space="preserve">; Part III addresses the human-authorship requirement as a threshold </w:t>
      </w:r>
      <w:r w:rsidR="00E90554">
        <w:rPr>
          <w:rFonts w:ascii="Times New Roman" w:eastAsia="Times New Roman" w:hAnsi="Times New Roman" w:cs="Times New Roman"/>
          <w:kern w:val="0"/>
          <w14:ligatures w14:val="none"/>
        </w:rPr>
        <w:t>for copyright protection</w:t>
      </w:r>
      <w:r w:rsidRPr="00F406AE">
        <w:rPr>
          <w:rFonts w:ascii="Times New Roman" w:eastAsia="Times New Roman" w:hAnsi="Times New Roman" w:cs="Times New Roman"/>
          <w:kern w:val="0"/>
          <w14:ligatures w14:val="none"/>
        </w:rPr>
        <w:t>; Part IV explores substantial similarity, “look and feel,” and the problem of style</w:t>
      </w:r>
      <w:r w:rsidR="00E90554">
        <w:rPr>
          <w:rFonts w:ascii="Times New Roman" w:eastAsia="Times New Roman" w:hAnsi="Times New Roman" w:cs="Times New Roman"/>
          <w:kern w:val="0"/>
          <w14:ligatures w14:val="none"/>
        </w:rPr>
        <w:t>, as evident in the</w:t>
      </w:r>
      <w:r w:rsidR="006D00DF">
        <w:rPr>
          <w:rFonts w:ascii="Times New Roman" w:eastAsia="Times New Roman" w:hAnsi="Times New Roman" w:cs="Times New Roman"/>
          <w:kern w:val="0"/>
          <w14:ligatures w14:val="none"/>
        </w:rPr>
        <w:t xml:space="preserve"> Marvin Gaye </w:t>
      </w:r>
      <w:r w:rsidRPr="00F406AE">
        <w:rPr>
          <w:rFonts w:ascii="Times New Roman" w:eastAsia="Times New Roman" w:hAnsi="Times New Roman" w:cs="Times New Roman"/>
          <w:i/>
          <w:iCs/>
          <w:kern w:val="0"/>
          <w14:ligatures w14:val="none"/>
        </w:rPr>
        <w:t>Blurred Lines</w:t>
      </w:r>
      <w:r w:rsidRPr="00F406AE">
        <w:rPr>
          <w:rFonts w:ascii="Times New Roman" w:eastAsia="Times New Roman" w:hAnsi="Times New Roman" w:cs="Times New Roman"/>
          <w:kern w:val="0"/>
          <w14:ligatures w14:val="none"/>
        </w:rPr>
        <w:t xml:space="preserve"> and </w:t>
      </w:r>
      <w:r w:rsidR="006D00DF" w:rsidRPr="006D00DF">
        <w:rPr>
          <w:rFonts w:ascii="Times New Roman" w:eastAsia="Times New Roman" w:hAnsi="Times New Roman" w:cs="Times New Roman"/>
          <w:i/>
          <w:kern w:val="0"/>
          <w14:ligatures w14:val="none"/>
        </w:rPr>
        <w:t xml:space="preserve">Ed </w:t>
      </w:r>
      <w:r w:rsidRPr="006D00DF">
        <w:rPr>
          <w:rFonts w:ascii="Times New Roman" w:eastAsia="Times New Roman" w:hAnsi="Times New Roman" w:cs="Times New Roman"/>
          <w:i/>
          <w:iCs/>
          <w:kern w:val="0"/>
          <w14:ligatures w14:val="none"/>
        </w:rPr>
        <w:t>S</w:t>
      </w:r>
      <w:r w:rsidRPr="00F406AE">
        <w:rPr>
          <w:rFonts w:ascii="Times New Roman" w:eastAsia="Times New Roman" w:hAnsi="Times New Roman" w:cs="Times New Roman"/>
          <w:i/>
          <w:iCs/>
          <w:kern w:val="0"/>
          <w14:ligatures w14:val="none"/>
        </w:rPr>
        <w:t>heeran</w:t>
      </w:r>
      <w:r w:rsidR="006D00DF">
        <w:rPr>
          <w:rFonts w:ascii="Times New Roman" w:eastAsia="Times New Roman" w:hAnsi="Times New Roman" w:cs="Times New Roman"/>
          <w:i/>
          <w:iCs/>
          <w:kern w:val="0"/>
          <w14:ligatures w14:val="none"/>
        </w:rPr>
        <w:t xml:space="preserve"> </w:t>
      </w:r>
      <w:r w:rsidR="006D00DF">
        <w:rPr>
          <w:rFonts w:ascii="Times New Roman" w:eastAsia="Times New Roman" w:hAnsi="Times New Roman" w:cs="Times New Roman"/>
          <w:iCs/>
          <w:kern w:val="0"/>
          <w14:ligatures w14:val="none"/>
        </w:rPr>
        <w:t>cases</w:t>
      </w:r>
      <w:r w:rsidRPr="00F406AE">
        <w:rPr>
          <w:rFonts w:ascii="Times New Roman" w:eastAsia="Times New Roman" w:hAnsi="Times New Roman" w:cs="Times New Roman"/>
          <w:kern w:val="0"/>
          <w14:ligatures w14:val="none"/>
        </w:rPr>
        <w:t xml:space="preserve">; Part V analyzes </w:t>
      </w:r>
      <w:r w:rsidR="00026C2F" w:rsidRPr="00F406AE">
        <w:rPr>
          <w:rFonts w:ascii="Times New Roman" w:eastAsia="Times New Roman" w:hAnsi="Times New Roman" w:cs="Times New Roman"/>
          <w:kern w:val="0"/>
          <w14:ligatures w14:val="none"/>
        </w:rPr>
        <w:t xml:space="preserve">fair </w:t>
      </w:r>
      <w:r w:rsidRPr="00F406AE">
        <w:rPr>
          <w:rFonts w:ascii="Times New Roman" w:eastAsia="Times New Roman" w:hAnsi="Times New Roman" w:cs="Times New Roman"/>
          <w:kern w:val="0"/>
          <w14:ligatures w14:val="none"/>
        </w:rPr>
        <w:t xml:space="preserve">use, parody, and </w:t>
      </w:r>
      <w:r w:rsidR="00026C2F" w:rsidRPr="00F406AE">
        <w:rPr>
          <w:rFonts w:ascii="Times New Roman" w:eastAsia="Times New Roman" w:hAnsi="Times New Roman" w:cs="Times New Roman"/>
          <w:kern w:val="0"/>
          <w14:ligatures w14:val="none"/>
        </w:rPr>
        <w:t xml:space="preserve">transformative </w:t>
      </w:r>
      <w:r w:rsidRPr="00F406AE">
        <w:rPr>
          <w:rFonts w:ascii="Times New Roman" w:eastAsia="Times New Roman" w:hAnsi="Times New Roman" w:cs="Times New Roman"/>
          <w:kern w:val="0"/>
          <w14:ligatures w14:val="none"/>
        </w:rPr>
        <w:t xml:space="preserve">use from </w:t>
      </w:r>
      <w:r w:rsidRPr="00F406AE">
        <w:rPr>
          <w:rFonts w:ascii="Times New Roman" w:eastAsia="Times New Roman" w:hAnsi="Times New Roman" w:cs="Times New Roman"/>
          <w:i/>
          <w:iCs/>
          <w:kern w:val="0"/>
          <w14:ligatures w14:val="none"/>
        </w:rPr>
        <w:t>Campbell</w:t>
      </w:r>
      <w:r w:rsidRPr="00F406AE">
        <w:rPr>
          <w:rFonts w:ascii="Times New Roman" w:eastAsia="Times New Roman" w:hAnsi="Times New Roman" w:cs="Times New Roman"/>
          <w:kern w:val="0"/>
          <w14:ligatures w14:val="none"/>
        </w:rPr>
        <w:t xml:space="preserve"> to</w:t>
      </w:r>
      <w:r w:rsidR="00E90554">
        <w:rPr>
          <w:rFonts w:ascii="Times New Roman" w:eastAsia="Times New Roman" w:hAnsi="Times New Roman" w:cs="Times New Roman"/>
          <w:kern w:val="0"/>
          <w14:ligatures w14:val="none"/>
        </w:rPr>
        <w:t xml:space="preserve"> </w:t>
      </w:r>
      <w:r w:rsidR="00E90554" w:rsidRPr="00E90554">
        <w:rPr>
          <w:rFonts w:ascii="Times New Roman" w:eastAsia="Times New Roman" w:hAnsi="Times New Roman" w:cs="Times New Roman"/>
          <w:i/>
          <w:iCs/>
          <w:kern w:val="0"/>
          <w14:ligatures w14:val="none"/>
        </w:rPr>
        <w:t>Warhol</w:t>
      </w:r>
      <w:r w:rsidR="00E90554">
        <w:rPr>
          <w:rFonts w:ascii="Times New Roman" w:eastAsia="Times New Roman" w:hAnsi="Times New Roman" w:cs="Times New Roman"/>
          <w:kern w:val="0"/>
          <w14:ligatures w14:val="none"/>
        </w:rPr>
        <w:t xml:space="preserve"> and</w:t>
      </w:r>
      <w:r w:rsidRPr="00F406AE">
        <w:rPr>
          <w:rFonts w:ascii="Times New Roman" w:eastAsia="Times New Roman" w:hAnsi="Times New Roman" w:cs="Times New Roman"/>
          <w:kern w:val="0"/>
          <w14:ligatures w14:val="none"/>
        </w:rPr>
        <w:t xml:space="preserve"> the AI context; Part VI considers the ancillary issue of likeness and the right of publicity, </w:t>
      </w:r>
      <w:r w:rsidR="00E90554">
        <w:rPr>
          <w:rFonts w:ascii="Times New Roman" w:eastAsia="Times New Roman" w:hAnsi="Times New Roman" w:cs="Times New Roman"/>
          <w:kern w:val="0"/>
          <w14:ligatures w14:val="none"/>
        </w:rPr>
        <w:t>focusing on</w:t>
      </w:r>
      <w:r w:rsidRPr="00F406AE">
        <w:rPr>
          <w:rFonts w:ascii="Times New Roman" w:eastAsia="Times New Roman" w:hAnsi="Times New Roman" w:cs="Times New Roman"/>
          <w:kern w:val="0"/>
          <w14:ligatures w14:val="none"/>
        </w:rPr>
        <w:t xml:space="preserve"> </w:t>
      </w:r>
      <w:r w:rsidRPr="00F406AE">
        <w:rPr>
          <w:rFonts w:ascii="Times New Roman" w:eastAsia="Times New Roman" w:hAnsi="Times New Roman" w:cs="Times New Roman"/>
          <w:i/>
          <w:iCs/>
          <w:kern w:val="0"/>
          <w14:ligatures w14:val="none"/>
        </w:rPr>
        <w:t>Kirby</w:t>
      </w:r>
      <w:r w:rsidR="001A0818">
        <w:rPr>
          <w:rFonts w:ascii="Times New Roman" w:eastAsia="Times New Roman" w:hAnsi="Times New Roman" w:cs="Times New Roman"/>
          <w:i/>
          <w:iCs/>
          <w:kern w:val="0"/>
          <w14:ligatures w14:val="none"/>
        </w:rPr>
        <w:t xml:space="preserve">, Comedy III, </w:t>
      </w:r>
      <w:r w:rsidRPr="00F406AE">
        <w:rPr>
          <w:rFonts w:ascii="Times New Roman" w:eastAsia="Times New Roman" w:hAnsi="Times New Roman" w:cs="Times New Roman"/>
          <w:i/>
          <w:iCs/>
          <w:kern w:val="0"/>
          <w14:ligatures w14:val="none"/>
        </w:rPr>
        <w:t>No Doubt</w:t>
      </w:r>
      <w:r w:rsidR="001A0818">
        <w:rPr>
          <w:rFonts w:ascii="Times New Roman" w:eastAsia="Times New Roman" w:hAnsi="Times New Roman" w:cs="Times New Roman"/>
          <w:kern w:val="0"/>
          <w14:ligatures w14:val="none"/>
        </w:rPr>
        <w:t xml:space="preserve"> and </w:t>
      </w:r>
      <w:r w:rsidR="001A0818" w:rsidRPr="001A0818">
        <w:rPr>
          <w:rFonts w:ascii="Times New Roman" w:eastAsia="Times New Roman" w:hAnsi="Times New Roman" w:cs="Times New Roman"/>
          <w:i/>
          <w:iCs/>
          <w:kern w:val="0"/>
          <w14:ligatures w14:val="none"/>
        </w:rPr>
        <w:t>Warhol</w:t>
      </w:r>
      <w:r w:rsidR="001A0818">
        <w:rPr>
          <w:rFonts w:ascii="Times New Roman" w:eastAsia="Times New Roman" w:hAnsi="Times New Roman" w:cs="Times New Roman"/>
          <w:kern w:val="0"/>
          <w14:ligatures w14:val="none"/>
        </w:rPr>
        <w:t>;</w:t>
      </w:r>
      <w:r w:rsidRPr="00F406AE">
        <w:rPr>
          <w:rFonts w:ascii="Times New Roman" w:eastAsia="Times New Roman" w:hAnsi="Times New Roman" w:cs="Times New Roman"/>
          <w:kern w:val="0"/>
          <w14:ligatures w14:val="none"/>
        </w:rPr>
        <w:t xml:space="preserve"> Part VII</w:t>
      </w:r>
      <w:r w:rsidR="00D34724">
        <w:rPr>
          <w:rFonts w:ascii="Times New Roman" w:eastAsia="Times New Roman" w:hAnsi="Times New Roman" w:cs="Times New Roman"/>
          <w:kern w:val="0"/>
          <w14:ligatures w14:val="none"/>
        </w:rPr>
        <w:t xml:space="preserve"> </w:t>
      </w:r>
      <w:r w:rsidR="00D34724" w:rsidRPr="00F406AE">
        <w:rPr>
          <w:rFonts w:ascii="Times New Roman" w:eastAsia="Times New Roman" w:hAnsi="Times New Roman" w:cs="Times New Roman"/>
          <w:kern w:val="0"/>
          <w14:ligatures w14:val="none"/>
        </w:rPr>
        <w:t xml:space="preserve">surveys </w:t>
      </w:r>
      <w:r w:rsidR="00D34724">
        <w:rPr>
          <w:rFonts w:ascii="Times New Roman" w:eastAsia="Times New Roman" w:hAnsi="Times New Roman" w:cs="Times New Roman"/>
          <w:kern w:val="0"/>
          <w14:ligatures w14:val="none"/>
        </w:rPr>
        <w:t>cu</w:t>
      </w:r>
      <w:r w:rsidR="009A6258">
        <w:rPr>
          <w:rFonts w:ascii="Times New Roman" w:eastAsia="Times New Roman" w:hAnsi="Times New Roman" w:cs="Times New Roman"/>
          <w:kern w:val="0"/>
          <w14:ligatures w14:val="none"/>
        </w:rPr>
        <w:t>r</w:t>
      </w:r>
      <w:r w:rsidR="00D34724">
        <w:rPr>
          <w:rFonts w:ascii="Times New Roman" w:eastAsia="Times New Roman" w:hAnsi="Times New Roman" w:cs="Times New Roman"/>
          <w:kern w:val="0"/>
          <w14:ligatures w14:val="none"/>
        </w:rPr>
        <w:t>rent</w:t>
      </w:r>
      <w:r w:rsidR="00D34724" w:rsidRPr="00F406AE">
        <w:rPr>
          <w:rFonts w:ascii="Times New Roman" w:eastAsia="Times New Roman" w:hAnsi="Times New Roman" w:cs="Times New Roman"/>
          <w:kern w:val="0"/>
          <w14:ligatures w14:val="none"/>
        </w:rPr>
        <w:t xml:space="preserve"> AI–copyright litigation</w:t>
      </w:r>
      <w:r w:rsidRPr="00F406AE">
        <w:rPr>
          <w:rFonts w:ascii="Times New Roman" w:eastAsia="Times New Roman" w:hAnsi="Times New Roman" w:cs="Times New Roman"/>
          <w:kern w:val="0"/>
          <w14:ligatures w14:val="none"/>
        </w:rPr>
        <w:t xml:space="preserve">; </w:t>
      </w:r>
      <w:r w:rsidR="00E90554">
        <w:rPr>
          <w:rFonts w:ascii="Times New Roman" w:eastAsia="Times New Roman" w:hAnsi="Times New Roman" w:cs="Times New Roman"/>
          <w:kern w:val="0"/>
          <w14:ligatures w14:val="none"/>
        </w:rPr>
        <w:t xml:space="preserve">and Part VIII </w:t>
      </w:r>
      <w:r w:rsidR="00D34724">
        <w:rPr>
          <w:rFonts w:ascii="Times New Roman" w:eastAsia="Times New Roman" w:hAnsi="Times New Roman" w:cs="Times New Roman"/>
          <w:kern w:val="0"/>
          <w14:ligatures w14:val="none"/>
        </w:rPr>
        <w:t xml:space="preserve">predicts the </w:t>
      </w:r>
      <w:r w:rsidR="00D34724">
        <w:rPr>
          <w:rFonts w:ascii="Times New Roman" w:eastAsia="Times New Roman" w:hAnsi="Times New Roman" w:cs="Times New Roman"/>
          <w:kern w:val="0"/>
          <w14:ligatures w14:val="none"/>
        </w:rPr>
        <w:lastRenderedPageBreak/>
        <w:t xml:space="preserve">outcome in the current litigation and discusses the emergence of a new </w:t>
      </w:r>
      <w:r w:rsidR="006830AE">
        <w:rPr>
          <w:rFonts w:ascii="Times New Roman" w:eastAsia="Times New Roman" w:hAnsi="Times New Roman" w:cs="Times New Roman"/>
          <w:kern w:val="0"/>
          <w14:ligatures w14:val="none"/>
        </w:rPr>
        <w:t xml:space="preserve">copyright </w:t>
      </w:r>
      <w:r w:rsidR="00E90554">
        <w:rPr>
          <w:rFonts w:ascii="Times New Roman" w:eastAsia="Times New Roman" w:hAnsi="Times New Roman" w:cs="Times New Roman"/>
          <w:kern w:val="0"/>
          <w14:ligatures w14:val="none"/>
        </w:rPr>
        <w:t>building block</w:t>
      </w:r>
      <w:r w:rsidR="006830AE">
        <w:rPr>
          <w:rFonts w:ascii="Times New Roman" w:eastAsia="Times New Roman" w:hAnsi="Times New Roman" w:cs="Times New Roman"/>
          <w:kern w:val="0"/>
          <w14:ligatures w14:val="none"/>
        </w:rPr>
        <w:t xml:space="preserve"> for the age of</w:t>
      </w:r>
      <w:r w:rsidR="00880CB8">
        <w:rPr>
          <w:rFonts w:ascii="Times New Roman" w:eastAsia="Times New Roman" w:hAnsi="Times New Roman" w:cs="Times New Roman"/>
          <w:kern w:val="0"/>
          <w14:ligatures w14:val="none"/>
        </w:rPr>
        <w:t xml:space="preserve"> generative AI</w:t>
      </w:r>
      <w:r w:rsidR="00E90554">
        <w:rPr>
          <w:rFonts w:ascii="Times New Roman" w:eastAsia="Times New Roman" w:hAnsi="Times New Roman" w:cs="Times New Roman"/>
          <w:kern w:val="0"/>
          <w14:ligatures w14:val="none"/>
        </w:rPr>
        <w:t>.</w:t>
      </w:r>
      <w:r w:rsidR="00A13ED8">
        <w:rPr>
          <w:rStyle w:val="FootnoteReference"/>
          <w:rFonts w:ascii="Times New Roman" w:eastAsia="Times New Roman" w:hAnsi="Times New Roman" w:cs="Times New Roman"/>
          <w:kern w:val="0"/>
          <w14:ligatures w14:val="none"/>
        </w:rPr>
        <w:footnoteReference w:id="3"/>
      </w:r>
    </w:p>
    <w:p w14:paraId="0A1B7FE1" w14:textId="4F10F206" w:rsidR="00421276" w:rsidRPr="00421276" w:rsidRDefault="00421276" w:rsidP="00421276">
      <w:pPr>
        <w:spacing w:before="100" w:beforeAutospacing="1" w:after="100" w:afterAutospacing="1" w:line="240" w:lineRule="auto"/>
        <w:rPr>
          <w:rFonts w:ascii="Times New Roman" w:eastAsia="Times New Roman" w:hAnsi="Times New Roman" w:cs="Times New Roman"/>
          <w:kern w:val="0"/>
          <w14:ligatures w14:val="none"/>
        </w:rPr>
      </w:pPr>
      <w:bookmarkStart w:id="3" w:name="_Hlk212454989"/>
      <w:r w:rsidRPr="00421276">
        <w:rPr>
          <w:rFonts w:ascii="Times New Roman" w:eastAsia="Times New Roman" w:hAnsi="Times New Roman" w:cs="Times New Roman"/>
          <w:kern w:val="0"/>
          <w14:ligatures w14:val="none"/>
        </w:rPr>
        <w:t>Through</w:t>
      </w:r>
      <w:r w:rsidR="000E019B">
        <w:rPr>
          <w:rFonts w:ascii="Times New Roman" w:eastAsia="Times New Roman" w:hAnsi="Times New Roman" w:cs="Times New Roman"/>
          <w:kern w:val="0"/>
          <w14:ligatures w14:val="none"/>
        </w:rPr>
        <w:t>out</w:t>
      </w:r>
      <w:r w:rsidRPr="00421276">
        <w:rPr>
          <w:rFonts w:ascii="Times New Roman" w:eastAsia="Times New Roman" w:hAnsi="Times New Roman" w:cs="Times New Roman"/>
          <w:kern w:val="0"/>
          <w14:ligatures w14:val="none"/>
        </w:rPr>
        <w:t xml:space="preserve"> these discussions, one theme recurs: despite technological transformation, copyright’s strength lies in its continuity. Its doctrines may bend, but they do not break. They remain flexible enough to meet each new challenge</w:t>
      </w:r>
      <w:r w:rsidR="0054450B">
        <w:rPr>
          <w:rFonts w:ascii="Times New Roman" w:eastAsia="Times New Roman" w:hAnsi="Times New Roman" w:cs="Times New Roman"/>
          <w:kern w:val="0"/>
          <w14:ligatures w14:val="none"/>
        </w:rPr>
        <w:t xml:space="preserve"> </w:t>
      </w:r>
      <w:r w:rsidR="0054450B" w:rsidRPr="00421276">
        <w:rPr>
          <w:rFonts w:ascii="Times New Roman" w:eastAsia="Times New Roman" w:hAnsi="Times New Roman" w:cs="Times New Roman"/>
          <w:kern w:val="0"/>
          <w14:ligatures w14:val="none"/>
        </w:rPr>
        <w:t>—</w:t>
      </w:r>
      <w:r w:rsidR="0054450B">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including artificial intelligence</w:t>
      </w:r>
      <w:r w:rsidR="0054450B">
        <w:rPr>
          <w:rFonts w:ascii="Times New Roman" w:eastAsia="Times New Roman" w:hAnsi="Times New Roman" w:cs="Times New Roman"/>
          <w:kern w:val="0"/>
          <w14:ligatures w14:val="none"/>
        </w:rPr>
        <w:t xml:space="preserve"> </w:t>
      </w:r>
      <w:r w:rsidR="0054450B" w:rsidRPr="00421276">
        <w:rPr>
          <w:rFonts w:ascii="Times New Roman" w:eastAsia="Times New Roman" w:hAnsi="Times New Roman" w:cs="Times New Roman"/>
          <w:kern w:val="0"/>
          <w14:ligatures w14:val="none"/>
        </w:rPr>
        <w:t>—</w:t>
      </w:r>
      <w:r w:rsidRPr="00421276">
        <w:rPr>
          <w:rFonts w:ascii="Times New Roman" w:eastAsia="Times New Roman" w:hAnsi="Times New Roman" w:cs="Times New Roman"/>
          <w:kern w:val="0"/>
          <w14:ligatures w14:val="none"/>
        </w:rPr>
        <w:t xml:space="preserve"> without abandoning their historical </w:t>
      </w:r>
      <w:r w:rsidR="00251322">
        <w:rPr>
          <w:rFonts w:ascii="Times New Roman" w:eastAsia="Times New Roman" w:hAnsi="Times New Roman" w:cs="Times New Roman"/>
          <w:kern w:val="0"/>
          <w14:ligatures w14:val="none"/>
        </w:rPr>
        <w:t xml:space="preserve">and jurisprudential </w:t>
      </w:r>
      <w:r w:rsidRPr="00421276">
        <w:rPr>
          <w:rFonts w:ascii="Times New Roman" w:eastAsia="Times New Roman" w:hAnsi="Times New Roman" w:cs="Times New Roman"/>
          <w:kern w:val="0"/>
          <w14:ligatures w14:val="none"/>
        </w:rPr>
        <w:t>roots.</w:t>
      </w:r>
    </w:p>
    <w:p w14:paraId="644BF2C9" w14:textId="5348582A" w:rsidR="00421276" w:rsidRPr="00421276" w:rsidRDefault="00421276" w:rsidP="004212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4" w:name="_Toc220693037"/>
      <w:bookmarkEnd w:id="3"/>
      <w:r w:rsidRPr="00421276">
        <w:rPr>
          <w:rFonts w:ascii="Times New Roman" w:eastAsia="Times New Roman" w:hAnsi="Times New Roman" w:cs="Times New Roman"/>
          <w:b/>
          <w:bCs/>
          <w:kern w:val="0"/>
          <w:sz w:val="36"/>
          <w:szCs w:val="36"/>
          <w14:ligatures w14:val="none"/>
        </w:rPr>
        <w:t>PART I. THE IDEA–EXPRESSION DICHOTOMY</w:t>
      </w:r>
      <w:bookmarkEnd w:id="4"/>
      <w:r w:rsidRPr="00421276">
        <w:rPr>
          <w:rFonts w:ascii="Times New Roman" w:eastAsia="Times New Roman" w:hAnsi="Times New Roman" w:cs="Times New Roman"/>
          <w:b/>
          <w:bCs/>
          <w:kern w:val="0"/>
          <w:sz w:val="36"/>
          <w:szCs w:val="36"/>
          <w14:ligatures w14:val="none"/>
        </w:rPr>
        <w:t xml:space="preserve"> </w:t>
      </w:r>
    </w:p>
    <w:p w14:paraId="50ADF225" w14:textId="77777777" w:rsidR="00421276" w:rsidRPr="00421276" w:rsidRDefault="00421276" w:rsidP="004212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 w:name="_Toc220693038"/>
      <w:r w:rsidRPr="00421276">
        <w:rPr>
          <w:rFonts w:ascii="Times New Roman" w:eastAsia="Times New Roman" w:hAnsi="Times New Roman" w:cs="Times New Roman"/>
          <w:b/>
          <w:bCs/>
          <w:kern w:val="0"/>
          <w:sz w:val="27"/>
          <w:szCs w:val="27"/>
          <w14:ligatures w14:val="none"/>
        </w:rPr>
        <w:t xml:space="preserve">A. Foundations in </w:t>
      </w:r>
      <w:r w:rsidRPr="00421276">
        <w:rPr>
          <w:rFonts w:ascii="Times New Roman" w:eastAsia="Times New Roman" w:hAnsi="Times New Roman" w:cs="Times New Roman"/>
          <w:b/>
          <w:bCs/>
          <w:i/>
          <w:iCs/>
          <w:kern w:val="0"/>
          <w:sz w:val="27"/>
          <w:szCs w:val="27"/>
          <w14:ligatures w14:val="none"/>
        </w:rPr>
        <w:t>Baker v. Selden</w:t>
      </w:r>
      <w:bookmarkEnd w:id="5"/>
    </w:p>
    <w:p w14:paraId="3C2F4936" w14:textId="31CD9361" w:rsidR="009626F4" w:rsidRPr="00421276" w:rsidRDefault="00421276"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modern conception of copyright’s scope begins with </w:t>
      </w:r>
      <w:r w:rsidRPr="00421276">
        <w:rPr>
          <w:rFonts w:ascii="Times New Roman" w:eastAsia="Times New Roman" w:hAnsi="Times New Roman" w:cs="Times New Roman"/>
          <w:i/>
          <w:iCs/>
          <w:kern w:val="0"/>
          <w14:ligatures w14:val="none"/>
        </w:rPr>
        <w:t>Baker v. Selden</w:t>
      </w:r>
      <w:r w:rsidR="000E019B">
        <w:rPr>
          <w:rFonts w:ascii="Times New Roman" w:eastAsia="Times New Roman" w:hAnsi="Times New Roman" w:cs="Times New Roman"/>
          <w:i/>
          <w:iCs/>
          <w:kern w:val="0"/>
          <w14:ligatures w14:val="none"/>
        </w:rPr>
        <w:t>,</w:t>
      </w:r>
      <w:r w:rsidR="009626F4">
        <w:rPr>
          <w:rStyle w:val="FootnoteReference"/>
          <w:rFonts w:ascii="Times New Roman" w:eastAsia="Times New Roman" w:hAnsi="Times New Roman" w:cs="Times New Roman"/>
          <w:kern w:val="0"/>
          <w14:ligatures w14:val="none"/>
        </w:rPr>
        <w:footnoteReference w:id="4"/>
      </w:r>
      <w:r w:rsidR="000E019B">
        <w:rPr>
          <w:rFonts w:ascii="Times New Roman" w:eastAsia="Times New Roman" w:hAnsi="Times New Roman" w:cs="Times New Roman"/>
          <w:kern w:val="0"/>
          <w14:ligatures w14:val="none"/>
        </w:rPr>
        <w:t xml:space="preserve"> w</w:t>
      </w:r>
      <w:r w:rsidR="009626F4" w:rsidRPr="00421276">
        <w:rPr>
          <w:rFonts w:ascii="Times New Roman" w:eastAsia="Times New Roman" w:hAnsi="Times New Roman" w:cs="Times New Roman"/>
          <w:kern w:val="0"/>
          <w14:ligatures w14:val="none"/>
        </w:rPr>
        <w:t xml:space="preserve">here the Supreme Court drew a line that still </w:t>
      </w:r>
      <w:r w:rsidR="00251322">
        <w:rPr>
          <w:rFonts w:ascii="Times New Roman" w:eastAsia="Times New Roman" w:hAnsi="Times New Roman" w:cs="Times New Roman"/>
          <w:kern w:val="0"/>
          <w14:ligatures w14:val="none"/>
        </w:rPr>
        <w:t>remains today</w:t>
      </w:r>
      <w:r w:rsidR="009626F4" w:rsidRPr="00421276">
        <w:rPr>
          <w:rFonts w:ascii="Times New Roman" w:eastAsia="Times New Roman" w:hAnsi="Times New Roman" w:cs="Times New Roman"/>
          <w:kern w:val="0"/>
          <w14:ligatures w14:val="none"/>
        </w:rPr>
        <w:t xml:space="preserve">: copyright protects the </w:t>
      </w:r>
      <w:r w:rsidR="009626F4" w:rsidRPr="00865FD7">
        <w:rPr>
          <w:rFonts w:ascii="Times New Roman" w:eastAsia="Times New Roman" w:hAnsi="Times New Roman" w:cs="Times New Roman"/>
          <w:i/>
          <w:kern w:val="0"/>
          <w14:ligatures w14:val="none"/>
        </w:rPr>
        <w:t>expression</w:t>
      </w:r>
      <w:r w:rsidR="009626F4" w:rsidRPr="00421276">
        <w:rPr>
          <w:rFonts w:ascii="Times New Roman" w:eastAsia="Times New Roman" w:hAnsi="Times New Roman" w:cs="Times New Roman"/>
          <w:kern w:val="0"/>
          <w14:ligatures w14:val="none"/>
        </w:rPr>
        <w:t xml:space="preserve"> of an idea, </w:t>
      </w:r>
      <w:r w:rsidR="00F22C08">
        <w:rPr>
          <w:rFonts w:ascii="Times New Roman" w:eastAsia="Times New Roman" w:hAnsi="Times New Roman" w:cs="Times New Roman"/>
          <w:kern w:val="0"/>
          <w14:ligatures w14:val="none"/>
        </w:rPr>
        <w:t xml:space="preserve">but </w:t>
      </w:r>
      <w:r w:rsidR="009626F4" w:rsidRPr="00421276">
        <w:rPr>
          <w:rFonts w:ascii="Times New Roman" w:eastAsia="Times New Roman" w:hAnsi="Times New Roman" w:cs="Times New Roman"/>
          <w:kern w:val="0"/>
          <w14:ligatures w14:val="none"/>
        </w:rPr>
        <w:t>not the idea, method, or system itself.</w:t>
      </w:r>
      <w:r w:rsidR="00514763">
        <w:rPr>
          <w:rStyle w:val="FootnoteReference"/>
          <w:rFonts w:ascii="Times New Roman" w:eastAsia="Times New Roman" w:hAnsi="Times New Roman" w:cs="Times New Roman"/>
          <w:kern w:val="0"/>
          <w14:ligatures w14:val="none"/>
        </w:rPr>
        <w:footnoteReference w:id="5"/>
      </w:r>
      <w:r w:rsidR="009626F4" w:rsidRPr="00421276">
        <w:rPr>
          <w:rFonts w:ascii="Times New Roman" w:eastAsia="Times New Roman" w:hAnsi="Times New Roman" w:cs="Times New Roman"/>
          <w:kern w:val="0"/>
          <w14:ligatures w14:val="none"/>
        </w:rPr>
        <w:t xml:space="preserve"> Selden’s accounting forms embodied </w:t>
      </w:r>
      <w:r w:rsidR="00F22C08">
        <w:rPr>
          <w:rFonts w:ascii="Times New Roman" w:eastAsia="Times New Roman" w:hAnsi="Times New Roman" w:cs="Times New Roman"/>
          <w:kern w:val="0"/>
          <w14:ligatures w14:val="none"/>
        </w:rPr>
        <w:t>a</w:t>
      </w:r>
      <w:r w:rsidR="009626F4" w:rsidRPr="00421276">
        <w:rPr>
          <w:rFonts w:ascii="Times New Roman" w:eastAsia="Times New Roman" w:hAnsi="Times New Roman" w:cs="Times New Roman"/>
          <w:kern w:val="0"/>
          <w14:ligatures w14:val="none"/>
        </w:rPr>
        <w:t xml:space="preserve"> bookkeeping system, but protection extended only to the expressive arrangement on the page, not to the functional process. That distinction—between idea and expression—remains the cornerstone of every modern infringement dispute.</w:t>
      </w:r>
    </w:p>
    <w:p w14:paraId="7D18794D" w14:textId="5431C062"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rule is simple in principle but elusive in application. Every creative work is both idea and expression; separating the two is </w:t>
      </w:r>
      <w:r w:rsidR="000E019B">
        <w:rPr>
          <w:rFonts w:ascii="Times New Roman" w:eastAsia="Times New Roman" w:hAnsi="Times New Roman" w:cs="Times New Roman"/>
          <w:kern w:val="0"/>
          <w14:ligatures w14:val="none"/>
        </w:rPr>
        <w:t xml:space="preserve">often </w:t>
      </w:r>
      <w:r w:rsidRPr="00421276">
        <w:rPr>
          <w:rFonts w:ascii="Times New Roman" w:eastAsia="Times New Roman" w:hAnsi="Times New Roman" w:cs="Times New Roman"/>
          <w:kern w:val="0"/>
          <w14:ligatures w14:val="none"/>
        </w:rPr>
        <w:t xml:space="preserve">an act of judgment. Judge Learned Hand </w:t>
      </w:r>
      <w:r w:rsidR="007B480F">
        <w:rPr>
          <w:rFonts w:ascii="Times New Roman" w:eastAsia="Times New Roman" w:hAnsi="Times New Roman" w:cs="Times New Roman"/>
          <w:kern w:val="0"/>
          <w14:ligatures w14:val="none"/>
        </w:rPr>
        <w:t>observed that “</w:t>
      </w:r>
      <w:r w:rsidR="009D7F19">
        <w:rPr>
          <w:rFonts w:ascii="Times New Roman" w:eastAsia="Times New Roman" w:hAnsi="Times New Roman" w:cs="Times New Roman"/>
          <w:kern w:val="0"/>
          <w14:ligatures w14:val="none"/>
        </w:rPr>
        <w:t>[</w:t>
      </w:r>
      <w:r w:rsidR="007B480F" w:rsidRPr="007B480F">
        <w:rPr>
          <w:rFonts w:ascii="Times New Roman" w:eastAsia="Times New Roman" w:hAnsi="Times New Roman" w:cs="Times New Roman"/>
          <w:kern w:val="0"/>
          <w14:ligatures w14:val="none"/>
        </w:rPr>
        <w:t>N</w:t>
      </w:r>
      <w:r w:rsidR="009D7F19">
        <w:rPr>
          <w:rFonts w:ascii="Times New Roman" w:eastAsia="Times New Roman" w:hAnsi="Times New Roman" w:cs="Times New Roman"/>
          <w:kern w:val="0"/>
          <w14:ligatures w14:val="none"/>
        </w:rPr>
        <w:t>]</w:t>
      </w:r>
      <w:proofErr w:type="spellStart"/>
      <w:r w:rsidR="007B480F" w:rsidRPr="007B480F">
        <w:rPr>
          <w:rFonts w:ascii="Times New Roman" w:eastAsia="Times New Roman" w:hAnsi="Times New Roman" w:cs="Times New Roman"/>
          <w:kern w:val="0"/>
          <w14:ligatures w14:val="none"/>
        </w:rPr>
        <w:t>obody</w:t>
      </w:r>
      <w:proofErr w:type="spellEnd"/>
      <w:r w:rsidR="007B480F" w:rsidRPr="007B480F">
        <w:rPr>
          <w:rFonts w:ascii="Times New Roman" w:eastAsia="Times New Roman" w:hAnsi="Times New Roman" w:cs="Times New Roman"/>
          <w:kern w:val="0"/>
          <w14:ligatures w14:val="none"/>
        </w:rPr>
        <w:t xml:space="preserve"> has ever been able to fix that boundary, and nobody ever can.</w:t>
      </w:r>
      <w:r w:rsidR="007B480F">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6"/>
      </w:r>
      <w:r w:rsidRPr="00421276">
        <w:rPr>
          <w:rFonts w:ascii="Times New Roman" w:eastAsia="Times New Roman" w:hAnsi="Times New Roman" w:cs="Times New Roman"/>
          <w:kern w:val="0"/>
          <w14:ligatures w14:val="none"/>
        </w:rPr>
        <w:t xml:space="preserve"> Yet the persistence of the line has preserved a crucial equilibrium: the law rewards authorship without granting monopoly over </w:t>
      </w:r>
      <w:r w:rsidR="00F22C08">
        <w:rPr>
          <w:rFonts w:ascii="Times New Roman" w:eastAsia="Times New Roman" w:hAnsi="Times New Roman" w:cs="Times New Roman"/>
          <w:kern w:val="0"/>
          <w14:ligatures w14:val="none"/>
        </w:rPr>
        <w:t>the idea</w:t>
      </w:r>
      <w:r w:rsidRPr="00421276">
        <w:rPr>
          <w:rFonts w:ascii="Times New Roman" w:eastAsia="Times New Roman" w:hAnsi="Times New Roman" w:cs="Times New Roman"/>
          <w:kern w:val="0"/>
          <w14:ligatures w14:val="none"/>
        </w:rPr>
        <w:t xml:space="preserve"> itself.</w:t>
      </w:r>
    </w:p>
    <w:p w14:paraId="2EF27343" w14:textId="54B08306"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same challenge reappears today in AI training disputes. Large models learn by ingesting expressive works and extracting statistical patterns from them. In effect, they internalize “ideas” about artistic style or linguistic form without reproducing specific expressions. The </w:t>
      </w:r>
      <w:r w:rsidRPr="00421276">
        <w:rPr>
          <w:rFonts w:ascii="Times New Roman" w:eastAsia="Times New Roman" w:hAnsi="Times New Roman" w:cs="Times New Roman"/>
          <w:i/>
          <w:iCs/>
          <w:kern w:val="0"/>
          <w14:ligatures w14:val="none"/>
        </w:rPr>
        <w:t>Baker</w:t>
      </w:r>
      <w:r w:rsidRPr="00421276">
        <w:rPr>
          <w:rFonts w:ascii="Times New Roman" w:eastAsia="Times New Roman" w:hAnsi="Times New Roman" w:cs="Times New Roman"/>
          <w:kern w:val="0"/>
          <w14:ligatures w14:val="none"/>
        </w:rPr>
        <w:t xml:space="preserve"> distinction offers a conceptual framework for that process: so long as the model captures the underlying method or pattern rather than literal expression, it occupies the realm of idea, not </w:t>
      </w:r>
      <w:r w:rsidRPr="00421276">
        <w:rPr>
          <w:rFonts w:ascii="Times New Roman" w:eastAsia="Times New Roman" w:hAnsi="Times New Roman" w:cs="Times New Roman"/>
          <w:kern w:val="0"/>
          <w14:ligatures w14:val="none"/>
        </w:rPr>
        <w:lastRenderedPageBreak/>
        <w:t xml:space="preserve">infringement. Whether courts will accept that analogy remains uncertain, but </w:t>
      </w:r>
      <w:r w:rsidRPr="00421276">
        <w:rPr>
          <w:rFonts w:ascii="Times New Roman" w:eastAsia="Times New Roman" w:hAnsi="Times New Roman" w:cs="Times New Roman"/>
          <w:i/>
          <w:iCs/>
          <w:kern w:val="0"/>
          <w14:ligatures w14:val="none"/>
        </w:rPr>
        <w:t>Baker</w:t>
      </w:r>
      <w:r w:rsidRPr="00421276">
        <w:rPr>
          <w:rFonts w:ascii="Times New Roman" w:eastAsia="Times New Roman" w:hAnsi="Times New Roman" w:cs="Times New Roman"/>
          <w:kern w:val="0"/>
          <w14:ligatures w14:val="none"/>
        </w:rPr>
        <w:t xml:space="preserve"> ensures that the inquiry has a doctrinal home.</w:t>
      </w:r>
    </w:p>
    <w:p w14:paraId="7FF5DB96" w14:textId="77777777" w:rsidR="009626F4" w:rsidRPr="00421276" w:rsidRDefault="009626F4" w:rsidP="004212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 w:name="_Toc220693039"/>
      <w:r w:rsidRPr="00421276">
        <w:rPr>
          <w:rFonts w:ascii="Times New Roman" w:eastAsia="Times New Roman" w:hAnsi="Times New Roman" w:cs="Times New Roman"/>
          <w:b/>
          <w:bCs/>
          <w:kern w:val="0"/>
          <w:sz w:val="27"/>
          <w:szCs w:val="27"/>
          <w14:ligatures w14:val="none"/>
        </w:rPr>
        <w:t>B. Thin Copyright and the Limits of Protection</w:t>
      </w:r>
      <w:bookmarkEnd w:id="6"/>
    </w:p>
    <w:p w14:paraId="15F60F3E" w14:textId="59BF2D21"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idea–expression dichotomy leads naturally to the concept of </w:t>
      </w:r>
      <w:r w:rsidRPr="00C01127">
        <w:rPr>
          <w:rFonts w:ascii="Times New Roman" w:eastAsia="Times New Roman" w:hAnsi="Times New Roman" w:cs="Times New Roman"/>
          <w:kern w:val="0"/>
          <w14:ligatures w14:val="none"/>
        </w:rPr>
        <w:t>thin copyright—</w:t>
      </w:r>
      <w:r w:rsidRPr="00421276">
        <w:rPr>
          <w:rFonts w:ascii="Times New Roman" w:eastAsia="Times New Roman" w:hAnsi="Times New Roman" w:cs="Times New Roman"/>
          <w:kern w:val="0"/>
          <w14:ligatures w14:val="none"/>
        </w:rPr>
        <w:t>the recognition that some works receive protection so narrow that only virtually identical copying will infringe. Functional or fact-driven works, like databases, instruction manuals, or interface designs, fall into this category.</w:t>
      </w:r>
      <w:r w:rsidR="00166191">
        <w:rPr>
          <w:rStyle w:val="FootnoteReference"/>
          <w:rFonts w:ascii="Times New Roman" w:eastAsia="Times New Roman" w:hAnsi="Times New Roman" w:cs="Times New Roman"/>
          <w:kern w:val="0"/>
          <w14:ligatures w14:val="none"/>
        </w:rPr>
        <w:footnoteReference w:id="7"/>
      </w:r>
      <w:r w:rsidRPr="00421276">
        <w:rPr>
          <w:rFonts w:ascii="Times New Roman" w:eastAsia="Times New Roman" w:hAnsi="Times New Roman" w:cs="Times New Roman"/>
          <w:kern w:val="0"/>
          <w14:ligatures w14:val="none"/>
        </w:rPr>
        <w:t xml:space="preserve"> Courts developed this notion to prevent copyright from drifting into patent territory, reserving exclusive rights for creative choices rather than </w:t>
      </w:r>
      <w:r w:rsidR="000E019B">
        <w:rPr>
          <w:rFonts w:ascii="Times New Roman" w:eastAsia="Times New Roman" w:hAnsi="Times New Roman" w:cs="Times New Roman"/>
          <w:kern w:val="0"/>
          <w14:ligatures w14:val="none"/>
        </w:rPr>
        <w:t xml:space="preserve">for </w:t>
      </w:r>
      <w:r w:rsidRPr="00421276">
        <w:rPr>
          <w:rFonts w:ascii="Times New Roman" w:eastAsia="Times New Roman" w:hAnsi="Times New Roman" w:cs="Times New Roman"/>
          <w:kern w:val="0"/>
          <w14:ligatures w14:val="none"/>
        </w:rPr>
        <w:t>utilitarian form.</w:t>
      </w:r>
    </w:p>
    <w:p w14:paraId="1BB379D8" w14:textId="06323735"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Thin protection has resurfaced in contemporary debates over algorithmic and AI-assisted creativity. When an AI model reproduces stylistic conventions common to an entire genre, its output</w:t>
      </w:r>
      <w:r w:rsidR="000E019B">
        <w:rPr>
          <w:rFonts w:ascii="Times New Roman" w:eastAsia="Times New Roman" w:hAnsi="Times New Roman" w:cs="Times New Roman"/>
          <w:kern w:val="0"/>
          <w14:ligatures w14:val="none"/>
        </w:rPr>
        <w:t xml:space="preserve"> should be treated by the law t</w:t>
      </w:r>
      <w:r w:rsidRPr="00421276">
        <w:rPr>
          <w:rFonts w:ascii="Times New Roman" w:eastAsia="Times New Roman" w:hAnsi="Times New Roman" w:cs="Times New Roman"/>
          <w:kern w:val="0"/>
          <w14:ligatures w14:val="none"/>
        </w:rPr>
        <w:t xml:space="preserve">he way factual compilations </w:t>
      </w:r>
      <w:r w:rsidR="000E019B">
        <w:rPr>
          <w:rFonts w:ascii="Times New Roman" w:eastAsia="Times New Roman" w:hAnsi="Times New Roman" w:cs="Times New Roman"/>
          <w:kern w:val="0"/>
          <w14:ligatures w14:val="none"/>
        </w:rPr>
        <w:t>and</w:t>
      </w:r>
      <w:r w:rsidRPr="00421276">
        <w:rPr>
          <w:rFonts w:ascii="Times New Roman" w:eastAsia="Times New Roman" w:hAnsi="Times New Roman" w:cs="Times New Roman"/>
          <w:kern w:val="0"/>
          <w14:ligatures w14:val="none"/>
        </w:rPr>
        <w:t xml:space="preserve"> </w:t>
      </w:r>
      <w:r w:rsidR="00561D5D">
        <w:rPr>
          <w:rFonts w:ascii="Times New Roman" w:eastAsia="Times New Roman" w:hAnsi="Times New Roman" w:cs="Times New Roman"/>
          <w:kern w:val="0"/>
          <w14:ligatures w14:val="none"/>
        </w:rPr>
        <w:t xml:space="preserve">scenes </w:t>
      </w:r>
      <w:r w:rsidRPr="00421276">
        <w:rPr>
          <w:rFonts w:ascii="Times New Roman" w:eastAsia="Times New Roman" w:hAnsi="Times New Roman" w:cs="Times New Roman"/>
          <w:kern w:val="0"/>
          <w14:ligatures w14:val="none"/>
        </w:rPr>
        <w:t>à</w:t>
      </w:r>
      <w:r w:rsidR="00561D5D">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 xml:space="preserve">faire </w:t>
      </w:r>
      <w:r w:rsidR="000E019B">
        <w:rPr>
          <w:rFonts w:ascii="Times New Roman" w:eastAsia="Times New Roman" w:hAnsi="Times New Roman" w:cs="Times New Roman"/>
          <w:kern w:val="0"/>
          <w14:ligatures w14:val="none"/>
        </w:rPr>
        <w:t>are</w:t>
      </w:r>
      <w:r w:rsidRPr="00421276">
        <w:rPr>
          <w:rFonts w:ascii="Times New Roman" w:eastAsia="Times New Roman" w:hAnsi="Times New Roman" w:cs="Times New Roman"/>
          <w:kern w:val="0"/>
          <w14:ligatures w14:val="none"/>
        </w:rPr>
        <w:t xml:space="preserve">: the law protects the author’s unique expression, </w:t>
      </w:r>
      <w:r w:rsidR="00F22C08">
        <w:rPr>
          <w:rFonts w:ascii="Times New Roman" w:eastAsia="Times New Roman" w:hAnsi="Times New Roman" w:cs="Times New Roman"/>
          <w:kern w:val="0"/>
          <w14:ligatures w14:val="none"/>
        </w:rPr>
        <w:t xml:space="preserve">but </w:t>
      </w:r>
      <w:r w:rsidR="000E019B">
        <w:rPr>
          <w:rFonts w:ascii="Times New Roman" w:eastAsia="Times New Roman" w:hAnsi="Times New Roman" w:cs="Times New Roman"/>
          <w:kern w:val="0"/>
          <w14:ligatures w14:val="none"/>
        </w:rPr>
        <w:t>does not extend that protection to ideas behind the expression or to the facts</w:t>
      </w:r>
      <w:r w:rsidRPr="00421276">
        <w:rPr>
          <w:rFonts w:ascii="Times New Roman" w:eastAsia="Times New Roman" w:hAnsi="Times New Roman" w:cs="Times New Roman"/>
          <w:kern w:val="0"/>
          <w14:ligatures w14:val="none"/>
        </w:rPr>
        <w:t xml:space="preserve"> themselves. The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decision reaffirmed this principle, rejecting “sweat</w:t>
      </w:r>
      <w:r w:rsidR="00561D5D">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of</w:t>
      </w:r>
      <w:r w:rsidR="00561D5D">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the</w:t>
      </w:r>
      <w:r w:rsidR="00561D5D">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brow” theories and holding that facts and data lack authorship.</w:t>
      </w:r>
      <w:r w:rsidR="00E66DA4">
        <w:rPr>
          <w:rStyle w:val="FootnoteReference"/>
          <w:rFonts w:ascii="Times New Roman" w:eastAsia="Times New Roman" w:hAnsi="Times New Roman" w:cs="Times New Roman"/>
          <w:kern w:val="0"/>
          <w14:ligatures w14:val="none"/>
        </w:rPr>
        <w:footnoteReference w:id="8"/>
      </w:r>
      <w:r w:rsidRPr="00421276">
        <w:rPr>
          <w:rFonts w:ascii="Times New Roman" w:eastAsia="Times New Roman" w:hAnsi="Times New Roman" w:cs="Times New Roman"/>
          <w:kern w:val="0"/>
          <w14:ligatures w14:val="none"/>
        </w:rPr>
        <w:t xml:space="preserve"> The author earns protection only for the </w:t>
      </w:r>
      <w:r w:rsidRPr="00C01127">
        <w:rPr>
          <w:rFonts w:ascii="Times New Roman" w:eastAsia="Times New Roman" w:hAnsi="Times New Roman" w:cs="Times New Roman"/>
          <w:kern w:val="0"/>
          <w14:ligatures w14:val="none"/>
        </w:rPr>
        <w:t>original selection and arrangement</w:t>
      </w:r>
      <w:r w:rsidRPr="00421276">
        <w:rPr>
          <w:rFonts w:ascii="Times New Roman" w:eastAsia="Times New Roman" w:hAnsi="Times New Roman" w:cs="Times New Roman"/>
          <w:kern w:val="0"/>
          <w14:ligatures w14:val="none"/>
        </w:rPr>
        <w:t xml:space="preserve"> of those facts</w:t>
      </w:r>
      <w:r w:rsidR="00F22C08">
        <w:rPr>
          <w:rFonts w:ascii="Times New Roman" w:eastAsia="Times New Roman" w:hAnsi="Times New Roman" w:cs="Times New Roman"/>
          <w:kern w:val="0"/>
          <w14:ligatures w14:val="none"/>
        </w:rPr>
        <w:t>, not the facts themselves</w:t>
      </w:r>
      <w:r w:rsidRPr="00421276">
        <w:rPr>
          <w:rFonts w:ascii="Times New Roman" w:eastAsia="Times New Roman" w:hAnsi="Times New Roman" w:cs="Times New Roman"/>
          <w:kern w:val="0"/>
          <w14:ligatures w14:val="none"/>
        </w:rPr>
        <w:t>.</w:t>
      </w:r>
      <w:r w:rsidR="009D7F19">
        <w:rPr>
          <w:rStyle w:val="FootnoteReference"/>
          <w:rFonts w:ascii="Times New Roman" w:eastAsia="Times New Roman" w:hAnsi="Times New Roman" w:cs="Times New Roman"/>
          <w:kern w:val="0"/>
          <w14:ligatures w14:val="none"/>
        </w:rPr>
        <w:footnoteReference w:id="9"/>
      </w:r>
    </w:p>
    <w:p w14:paraId="339A14F9" w14:textId="1F324A97" w:rsidR="009626F4" w:rsidRPr="00421276" w:rsidRDefault="009626F4" w:rsidP="00D42491">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same reasoning governs the use of datasets in training models. Even massive investment in data curation does not create copyright unless the curation itself embodies creativity. The AI-training controversies therefore re-enact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’s lesson in a new technological key: labor alone is not authorship.</w:t>
      </w:r>
      <w:r w:rsidR="00166191">
        <w:rPr>
          <w:rStyle w:val="FootnoteReference"/>
          <w:rFonts w:ascii="Times New Roman" w:eastAsia="Times New Roman" w:hAnsi="Times New Roman" w:cs="Times New Roman"/>
          <w:kern w:val="0"/>
          <w14:ligatures w14:val="none"/>
        </w:rPr>
        <w:footnoteReference w:id="10"/>
      </w:r>
    </w:p>
    <w:p w14:paraId="39236887" w14:textId="1B921429" w:rsidR="009626F4" w:rsidRPr="00421276" w:rsidRDefault="009626F4" w:rsidP="004212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 w:name="_Toc220693040"/>
      <w:r w:rsidRPr="00421276">
        <w:rPr>
          <w:rFonts w:ascii="Times New Roman" w:eastAsia="Times New Roman" w:hAnsi="Times New Roman" w:cs="Times New Roman"/>
          <w:b/>
          <w:bCs/>
          <w:kern w:val="0"/>
          <w:sz w:val="27"/>
          <w:szCs w:val="27"/>
          <w14:ligatures w14:val="none"/>
        </w:rPr>
        <w:t>C. Derivative Works</w:t>
      </w:r>
      <w:bookmarkEnd w:id="8"/>
      <w:r w:rsidRPr="00421276">
        <w:rPr>
          <w:rFonts w:ascii="Times New Roman" w:eastAsia="Times New Roman" w:hAnsi="Times New Roman" w:cs="Times New Roman"/>
          <w:b/>
          <w:bCs/>
          <w:kern w:val="0"/>
          <w:sz w:val="27"/>
          <w:szCs w:val="27"/>
          <w14:ligatures w14:val="none"/>
        </w:rPr>
        <w:t xml:space="preserve"> </w:t>
      </w:r>
    </w:p>
    <w:p w14:paraId="1E6DD53E" w14:textId="3576E7E4"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The boundaries of idea, expression, and derivative use can be illu</w:t>
      </w:r>
      <w:r w:rsidR="00D34724">
        <w:rPr>
          <w:rFonts w:ascii="Times New Roman" w:eastAsia="Times New Roman" w:hAnsi="Times New Roman" w:cs="Times New Roman"/>
          <w:kern w:val="0"/>
          <w14:ligatures w14:val="none"/>
        </w:rPr>
        <w:t>strated with</w:t>
      </w:r>
      <w:r w:rsidRPr="00421276">
        <w:rPr>
          <w:rFonts w:ascii="Times New Roman" w:eastAsia="Times New Roman" w:hAnsi="Times New Roman" w:cs="Times New Roman"/>
          <w:kern w:val="0"/>
          <w14:ligatures w14:val="none"/>
        </w:rPr>
        <w:t xml:space="preserve"> a familiar classroom example. J. K. Rowling’s </w:t>
      </w:r>
      <w:r w:rsidRPr="00421276">
        <w:rPr>
          <w:rFonts w:ascii="Times New Roman" w:eastAsia="Times New Roman" w:hAnsi="Times New Roman" w:cs="Times New Roman"/>
          <w:i/>
          <w:iCs/>
          <w:kern w:val="0"/>
          <w14:ligatures w14:val="none"/>
        </w:rPr>
        <w:t>Harry Potter</w:t>
      </w:r>
      <w:r w:rsidRPr="00421276">
        <w:rPr>
          <w:rFonts w:ascii="Times New Roman" w:eastAsia="Times New Roman" w:hAnsi="Times New Roman" w:cs="Times New Roman"/>
          <w:kern w:val="0"/>
          <w14:ligatures w14:val="none"/>
        </w:rPr>
        <w:t xml:space="preserve"> novels express a specific narrative about Harry, Ron, and Hermione attending </w:t>
      </w:r>
      <w:r w:rsidR="006C4803">
        <w:rPr>
          <w:rFonts w:ascii="Times New Roman" w:eastAsia="Times New Roman" w:hAnsi="Times New Roman" w:cs="Times New Roman"/>
          <w:kern w:val="0"/>
          <w14:ligatures w14:val="none"/>
        </w:rPr>
        <w:t xml:space="preserve">the </w:t>
      </w:r>
      <w:r w:rsidRPr="00421276">
        <w:rPr>
          <w:rFonts w:ascii="Times New Roman" w:eastAsia="Times New Roman" w:hAnsi="Times New Roman" w:cs="Times New Roman"/>
          <w:kern w:val="0"/>
          <w14:ligatures w14:val="none"/>
        </w:rPr>
        <w:t>Hogwarts</w:t>
      </w:r>
      <w:r w:rsidR="006C4803">
        <w:rPr>
          <w:rFonts w:ascii="Times New Roman" w:eastAsia="Times New Roman" w:hAnsi="Times New Roman" w:cs="Times New Roman"/>
          <w:kern w:val="0"/>
          <w14:ligatures w14:val="none"/>
        </w:rPr>
        <w:t xml:space="preserve"> School of Witchcraft and Wizardry in the Scottish Highlands</w:t>
      </w:r>
      <w:r w:rsidRPr="00421276">
        <w:rPr>
          <w:rFonts w:ascii="Times New Roman" w:eastAsia="Times New Roman" w:hAnsi="Times New Roman" w:cs="Times New Roman"/>
          <w:kern w:val="0"/>
          <w14:ligatures w14:val="none"/>
        </w:rPr>
        <w:t xml:space="preserve">. Copyright protects that expression—the distinctive characters, plot, and setting—but not the broader </w:t>
      </w:r>
      <w:r w:rsidRPr="00C01127">
        <w:rPr>
          <w:rFonts w:ascii="Times New Roman" w:eastAsia="Times New Roman" w:hAnsi="Times New Roman" w:cs="Times New Roman"/>
          <w:kern w:val="0"/>
          <w14:ligatures w14:val="none"/>
        </w:rPr>
        <w:t>idea</w:t>
      </w:r>
      <w:r w:rsidRPr="00421276">
        <w:rPr>
          <w:rFonts w:ascii="Times New Roman" w:eastAsia="Times New Roman" w:hAnsi="Times New Roman" w:cs="Times New Roman"/>
          <w:kern w:val="0"/>
          <w14:ligatures w14:val="none"/>
        </w:rPr>
        <w:t xml:space="preserve"> of a school for wizards. Other authors remain free to write stories about wizarding education elsewhere; </w:t>
      </w:r>
      <w:r w:rsidR="00F22C08">
        <w:rPr>
          <w:rFonts w:ascii="Times New Roman" w:eastAsia="Times New Roman" w:hAnsi="Times New Roman" w:cs="Times New Roman"/>
          <w:kern w:val="0"/>
          <w14:ligatures w14:val="none"/>
        </w:rPr>
        <w:t>however, they may</w:t>
      </w:r>
      <w:r w:rsidRPr="00421276">
        <w:rPr>
          <w:rFonts w:ascii="Times New Roman" w:eastAsia="Times New Roman" w:hAnsi="Times New Roman" w:cs="Times New Roman"/>
          <w:kern w:val="0"/>
          <w14:ligatures w14:val="none"/>
        </w:rPr>
        <w:t xml:space="preserve"> not copy </w:t>
      </w:r>
      <w:r w:rsidR="004F6299">
        <w:rPr>
          <w:rFonts w:ascii="Times New Roman" w:eastAsia="Times New Roman" w:hAnsi="Times New Roman" w:cs="Times New Roman"/>
          <w:kern w:val="0"/>
          <w14:ligatures w14:val="none"/>
        </w:rPr>
        <w:t>the expressive world that Ro</w:t>
      </w:r>
      <w:r w:rsidRPr="00421276">
        <w:rPr>
          <w:rFonts w:ascii="Times New Roman" w:eastAsia="Times New Roman" w:hAnsi="Times New Roman" w:cs="Times New Roman"/>
          <w:kern w:val="0"/>
          <w14:ligatures w14:val="none"/>
        </w:rPr>
        <w:t xml:space="preserve">wling’s </w:t>
      </w:r>
      <w:r w:rsidR="004F6299">
        <w:rPr>
          <w:rFonts w:ascii="Times New Roman" w:eastAsia="Times New Roman" w:hAnsi="Times New Roman" w:cs="Times New Roman"/>
          <w:kern w:val="0"/>
          <w14:ligatures w14:val="none"/>
        </w:rPr>
        <w:t>created</w:t>
      </w:r>
      <w:r w:rsidRPr="00421276">
        <w:rPr>
          <w:rFonts w:ascii="Times New Roman" w:eastAsia="Times New Roman" w:hAnsi="Times New Roman" w:cs="Times New Roman"/>
          <w:kern w:val="0"/>
          <w14:ligatures w14:val="none"/>
        </w:rPr>
        <w:t>.</w:t>
      </w:r>
    </w:p>
    <w:p w14:paraId="769A68F6" w14:textId="3F9D433D"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Derivative works—translations, sequels, dramatizations, films—extend that expression without erasing the boundary between idea and original form.</w:t>
      </w:r>
      <w:r w:rsidR="00166191">
        <w:rPr>
          <w:rStyle w:val="FootnoteReference"/>
          <w:rFonts w:ascii="Times New Roman" w:eastAsia="Times New Roman" w:hAnsi="Times New Roman" w:cs="Times New Roman"/>
          <w:kern w:val="0"/>
          <w14:ligatures w14:val="none"/>
        </w:rPr>
        <w:footnoteReference w:id="11"/>
      </w:r>
      <w:r w:rsidRPr="00421276">
        <w:rPr>
          <w:rFonts w:ascii="Times New Roman" w:eastAsia="Times New Roman" w:hAnsi="Times New Roman" w:cs="Times New Roman"/>
          <w:kern w:val="0"/>
          <w14:ligatures w14:val="none"/>
        </w:rPr>
        <w:t xml:space="preserve"> The protection is “thin” in the sense that it does not bar new works built from similar ideas, yet “thick” enough to prevent the direct </w:t>
      </w:r>
      <w:r w:rsidRPr="00421276">
        <w:rPr>
          <w:rFonts w:ascii="Times New Roman" w:eastAsia="Times New Roman" w:hAnsi="Times New Roman" w:cs="Times New Roman"/>
          <w:kern w:val="0"/>
          <w14:ligatures w14:val="none"/>
        </w:rPr>
        <w:lastRenderedPageBreak/>
        <w:t xml:space="preserve">copying of expressive elements. This balance preserves creative ecosystems while ensuring that no single author </w:t>
      </w:r>
      <w:r w:rsidR="00F22C08">
        <w:rPr>
          <w:rFonts w:ascii="Times New Roman" w:eastAsia="Times New Roman" w:hAnsi="Times New Roman" w:cs="Times New Roman"/>
          <w:kern w:val="0"/>
          <w14:ligatures w14:val="none"/>
        </w:rPr>
        <w:t>can monopolize the idea itself</w:t>
      </w:r>
      <w:r w:rsidRPr="00421276">
        <w:rPr>
          <w:rFonts w:ascii="Times New Roman" w:eastAsia="Times New Roman" w:hAnsi="Times New Roman" w:cs="Times New Roman"/>
          <w:kern w:val="0"/>
          <w14:ligatures w14:val="none"/>
        </w:rPr>
        <w:t>.</w:t>
      </w:r>
    </w:p>
    <w:p w14:paraId="1CB9A379" w14:textId="235C92C2"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same logic constrains claims against AI-generated works that adopt familiar “vibes” or </w:t>
      </w:r>
      <w:r w:rsidR="004F6299">
        <w:rPr>
          <w:rFonts w:ascii="Times New Roman" w:eastAsia="Times New Roman" w:hAnsi="Times New Roman" w:cs="Times New Roman"/>
          <w:kern w:val="0"/>
          <w14:ligatures w14:val="none"/>
        </w:rPr>
        <w:t>“styles</w:t>
      </w:r>
      <w:r w:rsidR="00D34724">
        <w:rPr>
          <w:rFonts w:ascii="Times New Roman" w:eastAsia="Times New Roman" w:hAnsi="Times New Roman" w:cs="Times New Roman"/>
          <w:kern w:val="0"/>
          <w14:ligatures w14:val="none"/>
        </w:rPr>
        <w:t>.</w:t>
      </w:r>
      <w:r w:rsidR="004F6299">
        <w:rPr>
          <w:rFonts w:ascii="Times New Roman" w:eastAsia="Times New Roman" w:hAnsi="Times New Roman" w:cs="Times New Roman"/>
          <w:kern w:val="0"/>
          <w14:ligatures w14:val="none"/>
        </w:rPr>
        <w:t>”</w:t>
      </w:r>
      <w:r w:rsidRPr="00421276">
        <w:rPr>
          <w:rFonts w:ascii="Times New Roman" w:eastAsia="Times New Roman" w:hAnsi="Times New Roman" w:cs="Times New Roman"/>
          <w:kern w:val="0"/>
          <w14:ligatures w14:val="none"/>
        </w:rPr>
        <w:t xml:space="preserve"> When a</w:t>
      </w:r>
      <w:r w:rsidR="004F6299">
        <w:rPr>
          <w:rFonts w:ascii="Times New Roman" w:eastAsia="Times New Roman" w:hAnsi="Times New Roman" w:cs="Times New Roman"/>
          <w:kern w:val="0"/>
          <w14:ligatures w14:val="none"/>
        </w:rPr>
        <w:t>n AI</w:t>
      </w:r>
      <w:r w:rsidRPr="00421276">
        <w:rPr>
          <w:rFonts w:ascii="Times New Roman" w:eastAsia="Times New Roman" w:hAnsi="Times New Roman" w:cs="Times New Roman"/>
          <w:kern w:val="0"/>
          <w14:ligatures w14:val="none"/>
        </w:rPr>
        <w:t xml:space="preserve"> model produces music reminiscent of a well-known artist or fiction written “in the style of” another, it may evoke an idea but not necessarily infringe expression.</w:t>
      </w:r>
      <w:r w:rsidR="00C450DC">
        <w:rPr>
          <w:rStyle w:val="FootnoteReference"/>
          <w:rFonts w:ascii="Times New Roman" w:eastAsia="Times New Roman" w:hAnsi="Times New Roman" w:cs="Times New Roman"/>
          <w:kern w:val="0"/>
          <w14:ligatures w14:val="none"/>
        </w:rPr>
        <w:footnoteReference w:id="12"/>
      </w:r>
      <w:r w:rsidRPr="00421276">
        <w:rPr>
          <w:rFonts w:ascii="Times New Roman" w:eastAsia="Times New Roman" w:hAnsi="Times New Roman" w:cs="Times New Roman"/>
          <w:kern w:val="0"/>
          <w14:ligatures w14:val="none"/>
        </w:rPr>
        <w:t xml:space="preserve"> The line may be blurry, but it is not new. Copyright’s long-standing architecture already supplies the vocabulary for deciding when inspiration becomes appropriation.</w:t>
      </w:r>
    </w:p>
    <w:p w14:paraId="5331A1F6" w14:textId="77777777" w:rsidR="009626F4" w:rsidRPr="00421276" w:rsidRDefault="009626F4" w:rsidP="004212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9" w:name="_Toc220693041"/>
      <w:r w:rsidRPr="00421276">
        <w:rPr>
          <w:rFonts w:ascii="Times New Roman" w:eastAsia="Times New Roman" w:hAnsi="Times New Roman" w:cs="Times New Roman"/>
          <w:b/>
          <w:bCs/>
          <w:kern w:val="0"/>
          <w:sz w:val="36"/>
          <w:szCs w:val="36"/>
          <w14:ligatures w14:val="none"/>
        </w:rPr>
        <w:t xml:space="preserve">PART II. ORIGINALITY, COMPILATIONS, AND THE ENDURING LESSONS OF </w:t>
      </w:r>
      <w:r w:rsidRPr="00421276">
        <w:rPr>
          <w:rFonts w:ascii="Times New Roman" w:eastAsia="Times New Roman" w:hAnsi="Times New Roman" w:cs="Times New Roman"/>
          <w:b/>
          <w:bCs/>
          <w:i/>
          <w:iCs/>
          <w:kern w:val="0"/>
          <w:sz w:val="36"/>
          <w:szCs w:val="36"/>
          <w14:ligatures w14:val="none"/>
        </w:rPr>
        <w:t>FEIST</w:t>
      </w:r>
      <w:bookmarkEnd w:id="9"/>
    </w:p>
    <w:p w14:paraId="321F2EAA" w14:textId="77777777" w:rsidR="009626F4" w:rsidRPr="00421276" w:rsidRDefault="009626F4" w:rsidP="004212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 w:name="_Toc220693042"/>
      <w:r w:rsidRPr="00421276">
        <w:rPr>
          <w:rFonts w:ascii="Times New Roman" w:eastAsia="Times New Roman" w:hAnsi="Times New Roman" w:cs="Times New Roman"/>
          <w:b/>
          <w:bCs/>
          <w:kern w:val="0"/>
          <w:sz w:val="27"/>
          <w:szCs w:val="27"/>
          <w14:ligatures w14:val="none"/>
        </w:rPr>
        <w:t>A. The Rejection of “Sweat of the Brow”</w:t>
      </w:r>
      <w:bookmarkEnd w:id="10"/>
    </w:p>
    <w:p w14:paraId="714DF07E" w14:textId="4478DCC5" w:rsidR="009626F4" w:rsidRPr="00421276" w:rsidRDefault="005124BA" w:rsidP="00421276">
      <w:pPr>
        <w:spacing w:before="100" w:beforeAutospacing="1" w:after="100" w:afterAutospacing="1" w:line="240" w:lineRule="auto"/>
        <w:rPr>
          <w:rFonts w:ascii="Times New Roman" w:eastAsia="Times New Roman" w:hAnsi="Times New Roman" w:cs="Times New Roman"/>
          <w:kern w:val="0"/>
          <w14:ligatures w14:val="none"/>
        </w:rPr>
      </w:pPr>
      <w:r w:rsidRPr="005124BA">
        <w:rPr>
          <w:rFonts w:ascii="Times New Roman" w:eastAsia="Times New Roman" w:hAnsi="Times New Roman" w:cs="Times New Roman"/>
          <w:kern w:val="0"/>
          <w14:ligatures w14:val="none"/>
        </w:rPr>
        <w:t xml:space="preserve">Few cases illustrate copyright’s resilience better than </w:t>
      </w:r>
      <w:r w:rsidRPr="005124BA">
        <w:rPr>
          <w:rFonts w:ascii="Times New Roman" w:eastAsia="Times New Roman" w:hAnsi="Times New Roman" w:cs="Times New Roman"/>
          <w:i/>
          <w:iCs/>
          <w:kern w:val="0"/>
          <w14:ligatures w14:val="none"/>
        </w:rPr>
        <w:t>Feist</w:t>
      </w:r>
      <w:r w:rsidR="00EC0BE0">
        <w:rPr>
          <w:rFonts w:ascii="Times New Roman" w:eastAsia="Times New Roman" w:hAnsi="Times New Roman" w:cs="Times New Roman"/>
          <w:i/>
          <w:iCs/>
          <w:kern w:val="0"/>
          <w14:ligatures w14:val="none"/>
        </w:rPr>
        <w:t xml:space="preserve"> v. Rural Telephone</w:t>
      </w:r>
      <w:r w:rsidRPr="005124BA">
        <w:rPr>
          <w:rFonts w:ascii="Times New Roman" w:eastAsia="Times New Roman" w:hAnsi="Times New Roman" w:cs="Times New Roman"/>
          <w:i/>
          <w:iCs/>
          <w:kern w:val="0"/>
          <w14:ligatures w14:val="none"/>
        </w:rPr>
        <w:t>.</w:t>
      </w:r>
      <w:r w:rsidR="00EC0BE0">
        <w:rPr>
          <w:rStyle w:val="FootnoteReference"/>
          <w:rFonts w:ascii="Times New Roman" w:eastAsia="Times New Roman" w:hAnsi="Times New Roman" w:cs="Times New Roman"/>
          <w:i/>
          <w:iCs/>
          <w:kern w:val="0"/>
          <w14:ligatures w14:val="none"/>
        </w:rPr>
        <w:footnoteReference w:id="13"/>
      </w:r>
      <w:r>
        <w:rPr>
          <w:rFonts w:ascii="Times New Roman" w:eastAsia="Times New Roman" w:hAnsi="Times New Roman" w:cs="Times New Roman"/>
          <w:kern w:val="0"/>
          <w14:ligatures w14:val="none"/>
        </w:rPr>
        <w:t xml:space="preserve"> </w:t>
      </w:r>
      <w:r w:rsidRPr="005124BA">
        <w:rPr>
          <w:rFonts w:ascii="Times New Roman" w:eastAsia="Times New Roman" w:hAnsi="Times New Roman" w:cs="Times New Roman"/>
          <w:kern w:val="0"/>
          <w14:ligatures w14:val="none"/>
        </w:rPr>
        <w:t xml:space="preserve">Decided in 1991, </w:t>
      </w:r>
      <w:r w:rsidRPr="005124BA">
        <w:rPr>
          <w:rFonts w:ascii="Times New Roman" w:eastAsia="Times New Roman" w:hAnsi="Times New Roman" w:cs="Times New Roman"/>
          <w:i/>
          <w:iCs/>
          <w:kern w:val="0"/>
          <w14:ligatures w14:val="none"/>
        </w:rPr>
        <w:t>Feist</w:t>
      </w:r>
      <w:r w:rsidRPr="005124BA">
        <w:rPr>
          <w:rFonts w:ascii="Times New Roman" w:eastAsia="Times New Roman" w:hAnsi="Times New Roman" w:cs="Times New Roman"/>
          <w:kern w:val="0"/>
          <w14:ligatures w14:val="none"/>
        </w:rPr>
        <w:t xml:space="preserve"> confronted an old </w:t>
      </w:r>
      <w:r w:rsidR="00EC0BE0">
        <w:rPr>
          <w:rFonts w:ascii="Times New Roman" w:eastAsia="Times New Roman" w:hAnsi="Times New Roman" w:cs="Times New Roman"/>
          <w:kern w:val="0"/>
          <w14:ligatures w14:val="none"/>
        </w:rPr>
        <w:t>tradition</w:t>
      </w:r>
      <w:r w:rsidRPr="005124BA">
        <w:rPr>
          <w:rFonts w:ascii="Times New Roman" w:eastAsia="Times New Roman" w:hAnsi="Times New Roman" w:cs="Times New Roman"/>
          <w:kern w:val="0"/>
          <w14:ligatures w14:val="none"/>
        </w:rPr>
        <w:t xml:space="preserve"> that hard work should earn </w:t>
      </w:r>
      <w:r w:rsidR="00EC0BE0">
        <w:rPr>
          <w:rFonts w:ascii="Times New Roman" w:eastAsia="Times New Roman" w:hAnsi="Times New Roman" w:cs="Times New Roman"/>
          <w:kern w:val="0"/>
          <w14:ligatures w14:val="none"/>
        </w:rPr>
        <w:t xml:space="preserve">copyright </w:t>
      </w:r>
      <w:r w:rsidRPr="005124BA">
        <w:rPr>
          <w:rFonts w:ascii="Times New Roman" w:eastAsia="Times New Roman" w:hAnsi="Times New Roman" w:cs="Times New Roman"/>
          <w:kern w:val="0"/>
          <w14:ligatures w14:val="none"/>
        </w:rPr>
        <w:t>protection. Rural Telephone’s white pages were compiled through considerable effort, but the Court rejected the notion that “sweat of the brow” could substitute for creativity. Facts are not copyrightable, the Court held, because they are discoveries, not expressions;</w:t>
      </w:r>
      <w:r w:rsidR="00F34731">
        <w:rPr>
          <w:rStyle w:val="FootnoteReference"/>
          <w:rFonts w:ascii="Times New Roman" w:eastAsia="Times New Roman" w:hAnsi="Times New Roman" w:cs="Times New Roman"/>
          <w:kern w:val="0"/>
          <w14:ligatures w14:val="none"/>
        </w:rPr>
        <w:footnoteReference w:id="14"/>
      </w:r>
      <w:r w:rsidRPr="005124BA">
        <w:rPr>
          <w:rFonts w:ascii="Times New Roman" w:eastAsia="Times New Roman" w:hAnsi="Times New Roman" w:cs="Times New Roman"/>
          <w:kern w:val="0"/>
          <w14:ligatures w14:val="none"/>
        </w:rPr>
        <w:t xml:space="preserve"> only the author’s original selection or arrangement of those facts qualifies for protection</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15"/>
      </w:r>
      <w:r w:rsidRPr="005124BA">
        <w:rPr>
          <w:rFonts w:ascii="Times New Roman" w:eastAsia="Times New Roman" w:hAnsi="Times New Roman" w:cs="Times New Roman"/>
          <w:kern w:val="0"/>
          <w14:ligatures w14:val="none"/>
        </w:rPr>
        <w:t xml:space="preserve"> The decision made clear that effort alone is not a substitute for creativity</w:t>
      </w:r>
      <w:r w:rsidR="00321A17" w:rsidRPr="00321A17">
        <w:rPr>
          <w:rFonts w:ascii="Times New Roman" w:eastAsia="Times New Roman" w:hAnsi="Times New Roman" w:cs="Times New Roman"/>
          <w:kern w:val="0"/>
          <w14:ligatures w14:val="none"/>
        </w:rPr>
        <w:t>.</w:t>
      </w:r>
      <w:r w:rsidR="00321A17">
        <w:rPr>
          <w:rStyle w:val="FootnoteReference"/>
          <w:rFonts w:ascii="Times New Roman" w:eastAsia="Times New Roman" w:hAnsi="Times New Roman" w:cs="Times New Roman"/>
          <w:kern w:val="0"/>
          <w14:ligatures w14:val="none"/>
        </w:rPr>
        <w:footnoteReference w:id="16"/>
      </w:r>
    </w:p>
    <w:p w14:paraId="0578919D" w14:textId="3AE5BDD5" w:rsidR="00E33425" w:rsidRDefault="00921781" w:rsidP="004212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w:t>
      </w:r>
      <w:r w:rsidR="009626F4" w:rsidRPr="00421276">
        <w:rPr>
          <w:rFonts w:ascii="Times New Roman" w:eastAsia="Times New Roman" w:hAnsi="Times New Roman" w:cs="Times New Roman"/>
          <w:kern w:val="0"/>
          <w14:ligatures w14:val="none"/>
        </w:rPr>
        <w:t xml:space="preserve"> decision </w:t>
      </w:r>
      <w:r w:rsidR="00D34724">
        <w:rPr>
          <w:rFonts w:ascii="Times New Roman" w:eastAsia="Times New Roman" w:hAnsi="Times New Roman" w:cs="Times New Roman"/>
          <w:kern w:val="0"/>
          <w14:ligatures w14:val="none"/>
        </w:rPr>
        <w:t>i</w:t>
      </w:r>
      <w:r w:rsidR="009626F4" w:rsidRPr="00421276">
        <w:rPr>
          <w:rFonts w:ascii="Times New Roman" w:eastAsia="Times New Roman" w:hAnsi="Times New Roman" w:cs="Times New Roman"/>
          <w:kern w:val="0"/>
          <w14:ligatures w14:val="none"/>
        </w:rPr>
        <w:t xml:space="preserve">s </w:t>
      </w:r>
      <w:r w:rsidR="00813DC3">
        <w:rPr>
          <w:rFonts w:ascii="Times New Roman" w:eastAsia="Times New Roman" w:hAnsi="Times New Roman" w:cs="Times New Roman"/>
          <w:kern w:val="0"/>
          <w14:ligatures w14:val="none"/>
        </w:rPr>
        <w:t>a strong reminder that</w:t>
      </w:r>
      <w:r w:rsidR="00E33425">
        <w:rPr>
          <w:rFonts w:ascii="Times New Roman" w:eastAsia="Times New Roman" w:hAnsi="Times New Roman" w:cs="Times New Roman"/>
          <w:kern w:val="0"/>
          <w14:ligatures w14:val="none"/>
        </w:rPr>
        <w:t>:</w:t>
      </w:r>
    </w:p>
    <w:p w14:paraId="54EA2647" w14:textId="229650C4" w:rsidR="00E33425" w:rsidRDefault="00E33425" w:rsidP="00E33425">
      <w:pPr>
        <w:spacing w:before="100" w:beforeAutospacing="1" w:after="100" w:afterAutospacing="1" w:line="240" w:lineRule="auto"/>
        <w:ind w:left="720"/>
        <w:rPr>
          <w:rFonts w:ascii="Times New Roman" w:eastAsia="Times New Roman" w:hAnsi="Times New Roman" w:cs="Times New Roman"/>
          <w:kern w:val="0"/>
          <w14:ligatures w14:val="none"/>
        </w:rPr>
      </w:pPr>
      <w:r w:rsidRPr="00E33425">
        <w:rPr>
          <w:rFonts w:ascii="Times New Roman" w:eastAsia="Times New Roman" w:hAnsi="Times New Roman" w:cs="Times New Roman"/>
          <w:kern w:val="0"/>
          <w14:ligatures w14:val="none"/>
        </w:rPr>
        <w:t>The primary objective of copyright</w:t>
      </w:r>
      <w:r>
        <w:rPr>
          <w:rFonts w:ascii="Times New Roman" w:eastAsia="Times New Roman" w:hAnsi="Times New Roman" w:cs="Times New Roman"/>
          <w:kern w:val="0"/>
          <w14:ligatures w14:val="none"/>
        </w:rPr>
        <w:t xml:space="preserve"> </w:t>
      </w:r>
      <w:r w:rsidRPr="00E33425">
        <w:rPr>
          <w:rFonts w:ascii="Times New Roman" w:eastAsia="Times New Roman" w:hAnsi="Times New Roman" w:cs="Times New Roman"/>
          <w:kern w:val="0"/>
          <w14:ligatures w14:val="none"/>
        </w:rPr>
        <w:t>is not to reward the labor of authors, but “[t]o promote the Progress of Science and useful Arts.” To this end,</w:t>
      </w:r>
      <w:r>
        <w:rPr>
          <w:rFonts w:ascii="Times New Roman" w:eastAsia="Times New Roman" w:hAnsi="Times New Roman" w:cs="Times New Roman"/>
          <w:kern w:val="0"/>
          <w14:ligatures w14:val="none"/>
        </w:rPr>
        <w:t xml:space="preserve"> </w:t>
      </w:r>
      <w:r w:rsidRPr="00E33425">
        <w:rPr>
          <w:rFonts w:ascii="Times New Roman" w:eastAsia="Times New Roman" w:hAnsi="Times New Roman" w:cs="Times New Roman"/>
          <w:kern w:val="0"/>
          <w14:ligatures w14:val="none"/>
        </w:rPr>
        <w:t>copyright assures authors the right to their original expression, but encourages others to build freely upon the ideas</w:t>
      </w:r>
      <w:r>
        <w:rPr>
          <w:rFonts w:ascii="Times New Roman" w:eastAsia="Times New Roman" w:hAnsi="Times New Roman" w:cs="Times New Roman"/>
          <w:kern w:val="0"/>
          <w14:ligatures w14:val="none"/>
        </w:rPr>
        <w:t xml:space="preserve"> </w:t>
      </w:r>
      <w:r w:rsidRPr="00E33425">
        <w:rPr>
          <w:rFonts w:ascii="Times New Roman" w:eastAsia="Times New Roman" w:hAnsi="Times New Roman" w:cs="Times New Roman"/>
          <w:kern w:val="0"/>
          <w14:ligatures w14:val="none"/>
        </w:rPr>
        <w:t>and information conveyed</w:t>
      </w:r>
      <w:r w:rsidRPr="00E33425">
        <w:rPr>
          <w:rFonts w:ascii="Times New Roman" w:eastAsia="Times New Roman" w:hAnsi="Times New Roman" w:cs="Times New Roman"/>
          <w:b/>
          <w:bCs/>
          <w:kern w:val="0"/>
          <w14:ligatures w14:val="none"/>
        </w:rPr>
        <w:t xml:space="preserve"> </w:t>
      </w:r>
      <w:r w:rsidRPr="00E33425">
        <w:rPr>
          <w:rFonts w:ascii="Times New Roman" w:eastAsia="Times New Roman" w:hAnsi="Times New Roman" w:cs="Times New Roman"/>
          <w:kern w:val="0"/>
          <w14:ligatures w14:val="none"/>
        </w:rPr>
        <w:t>by a work. This principle, known as the idea/expression or fact/expression</w:t>
      </w:r>
      <w:r>
        <w:rPr>
          <w:rFonts w:ascii="Times New Roman" w:eastAsia="Times New Roman" w:hAnsi="Times New Roman" w:cs="Times New Roman"/>
          <w:kern w:val="0"/>
          <w14:ligatures w14:val="none"/>
        </w:rPr>
        <w:t xml:space="preserve"> </w:t>
      </w:r>
      <w:r w:rsidRPr="00E33425">
        <w:rPr>
          <w:rFonts w:ascii="Times New Roman" w:eastAsia="Times New Roman" w:hAnsi="Times New Roman" w:cs="Times New Roman"/>
          <w:kern w:val="0"/>
          <w14:ligatures w14:val="none"/>
        </w:rPr>
        <w:t>dichotomy, applies to all works of authorship</w:t>
      </w:r>
      <w:r w:rsidR="006A3E7E">
        <w:rPr>
          <w:rFonts w:ascii="Times New Roman" w:eastAsia="Times New Roman" w:hAnsi="Times New Roman" w:cs="Times New Roman"/>
          <w:kern w:val="0"/>
          <w14:ligatures w14:val="none"/>
        </w:rPr>
        <w:t>.</w:t>
      </w:r>
      <w:r w:rsidR="006A3E7E">
        <w:rPr>
          <w:rStyle w:val="FootnoteReference"/>
          <w:rFonts w:ascii="Times New Roman" w:eastAsia="Times New Roman" w:hAnsi="Times New Roman" w:cs="Times New Roman"/>
          <w:kern w:val="0"/>
          <w14:ligatures w14:val="none"/>
        </w:rPr>
        <w:footnoteReference w:id="17"/>
      </w:r>
    </w:p>
    <w:p w14:paraId="56100F94" w14:textId="5AD59408"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opinion signaled a renewed emphasis on </w:t>
      </w:r>
      <w:r w:rsidRPr="00C01127">
        <w:rPr>
          <w:rFonts w:ascii="Times New Roman" w:eastAsia="Times New Roman" w:hAnsi="Times New Roman" w:cs="Times New Roman"/>
          <w:kern w:val="0"/>
          <w14:ligatures w14:val="none"/>
        </w:rPr>
        <w:t>authorship as creativity</w:t>
      </w:r>
      <w:r w:rsidRPr="00421276">
        <w:rPr>
          <w:rFonts w:ascii="Times New Roman" w:eastAsia="Times New Roman" w:hAnsi="Times New Roman" w:cs="Times New Roman"/>
          <w:kern w:val="0"/>
          <w14:ligatures w14:val="none"/>
        </w:rPr>
        <w:t xml:space="preserve">, not industriousness. In </w:t>
      </w:r>
      <w:r w:rsidR="004B3FF8">
        <w:rPr>
          <w:rFonts w:ascii="Times New Roman" w:eastAsia="Times New Roman" w:hAnsi="Times New Roman" w:cs="Times New Roman"/>
          <w:kern w:val="0"/>
          <w14:ligatures w14:val="none"/>
        </w:rPr>
        <w:t xml:space="preserve">so </w:t>
      </w:r>
      <w:r w:rsidRPr="00421276">
        <w:rPr>
          <w:rFonts w:ascii="Times New Roman" w:eastAsia="Times New Roman" w:hAnsi="Times New Roman" w:cs="Times New Roman"/>
          <w:kern w:val="0"/>
          <w14:ligatures w14:val="none"/>
        </w:rPr>
        <w:t xml:space="preserve">doing,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re-anchored the concept of originality in expression—a theme that recurs in today’s disputes over AI-generated material.</w:t>
      </w:r>
      <w:r w:rsidR="00C476A3">
        <w:rPr>
          <w:rFonts w:ascii="Times New Roman" w:eastAsia="Times New Roman" w:hAnsi="Times New Roman" w:cs="Times New Roman"/>
          <w:kern w:val="0"/>
          <w14:ligatures w14:val="none"/>
        </w:rPr>
        <w:t xml:space="preserve"> </w:t>
      </w:r>
    </w:p>
    <w:p w14:paraId="4873DF88" w14:textId="3C737BBF" w:rsidR="009626F4" w:rsidRPr="00421276" w:rsidRDefault="009626F4" w:rsidP="00D42491">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The impulse to protect investment persists, especially where creation is data-intensive</w:t>
      </w:r>
      <w:r w:rsidR="006A3E7E">
        <w:rPr>
          <w:rFonts w:ascii="Times New Roman" w:eastAsia="Times New Roman" w:hAnsi="Times New Roman" w:cs="Times New Roman"/>
          <w:kern w:val="0"/>
          <w14:ligatures w14:val="none"/>
        </w:rPr>
        <w:t>, b</w:t>
      </w:r>
      <w:r w:rsidRPr="00421276">
        <w:rPr>
          <w:rFonts w:ascii="Times New Roman" w:eastAsia="Times New Roman" w:hAnsi="Times New Roman" w:cs="Times New Roman"/>
          <w:kern w:val="0"/>
          <w14:ligatures w14:val="none"/>
        </w:rPr>
        <w:t xml:space="preserve">ut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stands as a reminder that effort alone does not transform unprotectable information into protectable expression. The same reasoning applies to the engineers, programmers, and dataset </w:t>
      </w:r>
      <w:r w:rsidRPr="00421276">
        <w:rPr>
          <w:rFonts w:ascii="Times New Roman" w:eastAsia="Times New Roman" w:hAnsi="Times New Roman" w:cs="Times New Roman"/>
          <w:kern w:val="0"/>
          <w14:ligatures w14:val="none"/>
        </w:rPr>
        <w:lastRenderedPageBreak/>
        <w:t>curators who train generative models: no matter how extensive the data-gathering process, authorship remains a question of creative human choice, not mere accumulation.</w:t>
      </w:r>
      <w:r w:rsidR="0041277E">
        <w:rPr>
          <w:rFonts w:ascii="Times New Roman" w:eastAsia="Times New Roman" w:hAnsi="Times New Roman" w:cs="Times New Roman"/>
          <w:kern w:val="0"/>
          <w14:ligatures w14:val="none"/>
        </w:rPr>
        <w:t xml:space="preserve"> </w:t>
      </w:r>
      <w:r w:rsidR="0041277E" w:rsidRPr="0041277E">
        <w:rPr>
          <w:rFonts w:ascii="Times New Roman" w:eastAsia="Times New Roman" w:hAnsi="Times New Roman" w:cs="Times New Roman"/>
          <w:kern w:val="0"/>
          <w14:ligatures w14:val="none"/>
        </w:rPr>
        <w:t>This continuity underscores copyright’s constitutional purpose: progress through creativity, not reward for effort.</w:t>
      </w:r>
      <w:r w:rsidR="00F70201">
        <w:rPr>
          <w:rFonts w:ascii="Times New Roman" w:eastAsia="Times New Roman" w:hAnsi="Times New Roman" w:cs="Times New Roman"/>
          <w:kern w:val="0"/>
          <w14:ligatures w14:val="none"/>
        </w:rPr>
        <w:t xml:space="preserve"> </w:t>
      </w:r>
      <w:r w:rsidR="00AF07FD" w:rsidRPr="00AF07FD">
        <w:rPr>
          <w:rFonts w:ascii="Times New Roman" w:eastAsia="Times New Roman" w:hAnsi="Times New Roman" w:cs="Times New Roman"/>
          <w:kern w:val="0"/>
          <w14:ligatures w14:val="none"/>
        </w:rPr>
        <w:br/>
        <w:t>That same distinction between effort and creativity would soon reappear in debates over databases, as lawmakers confronted the limits of copyright’s reach in the information age.</w:t>
      </w:r>
    </w:p>
    <w:p w14:paraId="205348E3" w14:textId="77777777" w:rsidR="009626F4" w:rsidRPr="00421276" w:rsidRDefault="009626F4" w:rsidP="004212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 w:name="_Toc220693043"/>
      <w:r w:rsidRPr="00421276">
        <w:rPr>
          <w:rFonts w:ascii="Times New Roman" w:eastAsia="Times New Roman" w:hAnsi="Times New Roman" w:cs="Times New Roman"/>
          <w:b/>
          <w:bCs/>
          <w:kern w:val="0"/>
          <w:sz w:val="27"/>
          <w:szCs w:val="27"/>
          <w14:ligatures w14:val="none"/>
        </w:rPr>
        <w:t xml:space="preserve">B. The Database Debate and the Rejection of a </w:t>
      </w:r>
      <w:r w:rsidRPr="00736F9B">
        <w:rPr>
          <w:rFonts w:ascii="Times New Roman" w:eastAsia="Times New Roman" w:hAnsi="Times New Roman" w:cs="Times New Roman"/>
          <w:b/>
          <w:bCs/>
          <w:iCs/>
          <w:kern w:val="0"/>
          <w:sz w:val="27"/>
          <w:szCs w:val="27"/>
          <w14:ligatures w14:val="none"/>
        </w:rPr>
        <w:t>Sui Generis</w:t>
      </w:r>
      <w:r w:rsidRPr="00421276">
        <w:rPr>
          <w:rFonts w:ascii="Times New Roman" w:eastAsia="Times New Roman" w:hAnsi="Times New Roman" w:cs="Times New Roman"/>
          <w:b/>
          <w:bCs/>
          <w:kern w:val="0"/>
          <w:sz w:val="27"/>
          <w:szCs w:val="27"/>
          <w14:ligatures w14:val="none"/>
        </w:rPr>
        <w:t xml:space="preserve"> Regime</w:t>
      </w:r>
      <w:bookmarkEnd w:id="11"/>
    </w:p>
    <w:p w14:paraId="361FF632" w14:textId="04D0F40C"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After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scholars and lobbyists debated whether the United States should create </w:t>
      </w:r>
      <w:proofErr w:type="gramStart"/>
      <w:r w:rsidR="00E4600F">
        <w:rPr>
          <w:rFonts w:ascii="Times New Roman" w:eastAsia="Times New Roman" w:hAnsi="Times New Roman" w:cs="Times New Roman"/>
          <w:iCs/>
          <w:kern w:val="0"/>
          <w14:ligatures w14:val="none"/>
        </w:rPr>
        <w:t xml:space="preserve">a </w:t>
      </w:r>
      <w:r w:rsidR="00E4600F" w:rsidRPr="00736F9B">
        <w:rPr>
          <w:rFonts w:ascii="Times New Roman" w:eastAsia="Times New Roman" w:hAnsi="Times New Roman" w:cs="Times New Roman"/>
          <w:kern w:val="0"/>
          <w14:ligatures w14:val="none"/>
        </w:rPr>
        <w:t>sui generis</w:t>
      </w:r>
      <w:proofErr w:type="gramEnd"/>
      <w:r w:rsidRPr="00C01127">
        <w:rPr>
          <w:rFonts w:ascii="Times New Roman" w:eastAsia="Times New Roman" w:hAnsi="Times New Roman" w:cs="Times New Roman"/>
          <w:kern w:val="0"/>
          <w14:ligatures w14:val="none"/>
        </w:rPr>
        <w:t xml:space="preserve"> right for databases</w:t>
      </w:r>
      <w:r w:rsidRPr="00421276">
        <w:rPr>
          <w:rFonts w:ascii="Times New Roman" w:eastAsia="Times New Roman" w:hAnsi="Times New Roman" w:cs="Times New Roman"/>
          <w:kern w:val="0"/>
          <w14:ligatures w14:val="none"/>
        </w:rPr>
        <w:t>, mirroring European proposals of the 1990s</w:t>
      </w:r>
      <w:r w:rsidR="00F70201">
        <w:rPr>
          <w:rFonts w:ascii="Times New Roman" w:eastAsia="Times New Roman" w:hAnsi="Times New Roman" w:cs="Times New Roman"/>
          <w:kern w:val="0"/>
          <w14:ligatures w14:val="none"/>
        </w:rPr>
        <w:t xml:space="preserve"> </w:t>
      </w:r>
      <w:r w:rsidR="00F70201" w:rsidRPr="00F70201">
        <w:rPr>
          <w:rFonts w:ascii="Times New Roman" w:eastAsia="Times New Roman" w:hAnsi="Times New Roman" w:cs="Times New Roman"/>
          <w:kern w:val="0"/>
          <w14:ligatures w14:val="none"/>
        </w:rPr>
        <w:t>(modeled on the E</w:t>
      </w:r>
      <w:r w:rsidR="00070847">
        <w:rPr>
          <w:rFonts w:ascii="Times New Roman" w:eastAsia="Times New Roman" w:hAnsi="Times New Roman" w:cs="Times New Roman"/>
          <w:kern w:val="0"/>
          <w14:ligatures w14:val="none"/>
        </w:rPr>
        <w:t xml:space="preserve">uropean </w:t>
      </w:r>
      <w:r w:rsidR="00F70201" w:rsidRPr="00F70201">
        <w:rPr>
          <w:rFonts w:ascii="Times New Roman" w:eastAsia="Times New Roman" w:hAnsi="Times New Roman" w:cs="Times New Roman"/>
          <w:kern w:val="0"/>
          <w14:ligatures w14:val="none"/>
        </w:rPr>
        <w:t>U</w:t>
      </w:r>
      <w:r w:rsidR="00070847">
        <w:rPr>
          <w:rFonts w:ascii="Times New Roman" w:eastAsia="Times New Roman" w:hAnsi="Times New Roman" w:cs="Times New Roman"/>
          <w:kern w:val="0"/>
          <w14:ligatures w14:val="none"/>
        </w:rPr>
        <w:t>nion</w:t>
      </w:r>
      <w:r w:rsidR="00F70201" w:rsidRPr="00F70201">
        <w:rPr>
          <w:rFonts w:ascii="Times New Roman" w:eastAsia="Times New Roman" w:hAnsi="Times New Roman" w:cs="Times New Roman"/>
          <w:kern w:val="0"/>
          <w14:ligatures w14:val="none"/>
        </w:rPr>
        <w:t xml:space="preserve"> Database Directive)</w:t>
      </w:r>
      <w:r w:rsidRPr="00421276">
        <w:rPr>
          <w:rFonts w:ascii="Times New Roman" w:eastAsia="Times New Roman" w:hAnsi="Times New Roman" w:cs="Times New Roman"/>
          <w:kern w:val="0"/>
          <w14:ligatures w14:val="none"/>
        </w:rPr>
        <w:t>.</w:t>
      </w:r>
      <w:r w:rsidR="007B60C8">
        <w:rPr>
          <w:rStyle w:val="FootnoteReference"/>
          <w:rFonts w:ascii="Times New Roman" w:eastAsia="Times New Roman" w:hAnsi="Times New Roman" w:cs="Times New Roman"/>
          <w:kern w:val="0"/>
          <w14:ligatures w14:val="none"/>
        </w:rPr>
        <w:footnoteReference w:id="18"/>
      </w:r>
      <w:r w:rsidRPr="00421276">
        <w:rPr>
          <w:rFonts w:ascii="Times New Roman" w:eastAsia="Times New Roman" w:hAnsi="Times New Roman" w:cs="Times New Roman"/>
          <w:kern w:val="0"/>
          <w14:ligatures w14:val="none"/>
        </w:rPr>
        <w:t xml:space="preserve"> Congress considered</w:t>
      </w:r>
      <w:r w:rsidR="004F6299">
        <w:rPr>
          <w:rFonts w:ascii="Times New Roman" w:eastAsia="Times New Roman" w:hAnsi="Times New Roman" w:cs="Times New Roman"/>
          <w:kern w:val="0"/>
          <w14:ligatures w14:val="none"/>
        </w:rPr>
        <w:t>,</w:t>
      </w:r>
      <w:r w:rsidRPr="00421276">
        <w:rPr>
          <w:rFonts w:ascii="Times New Roman" w:eastAsia="Times New Roman" w:hAnsi="Times New Roman" w:cs="Times New Roman"/>
          <w:kern w:val="0"/>
          <w14:ligatures w14:val="none"/>
        </w:rPr>
        <w:t xml:space="preserve"> but ultimately declined to enact such a law, reasoning that copyright’s existing framework was flexible enough to protect genuinely creative compilations without monopolizing information</w:t>
      </w:r>
      <w:r w:rsidR="00F70201">
        <w:rPr>
          <w:rFonts w:ascii="Times New Roman" w:eastAsia="Times New Roman" w:hAnsi="Times New Roman" w:cs="Times New Roman"/>
          <w:kern w:val="0"/>
          <w14:ligatures w14:val="none"/>
        </w:rPr>
        <w:t xml:space="preserve">. </w:t>
      </w:r>
    </w:p>
    <w:p w14:paraId="0334ABD1" w14:textId="22BF1776"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decision to forgo a separate regime preserved a crucial equilibrium. It signaled that copyright’s </w:t>
      </w:r>
      <w:r w:rsidRPr="00C01127">
        <w:rPr>
          <w:rFonts w:ascii="Times New Roman" w:eastAsia="Times New Roman" w:hAnsi="Times New Roman" w:cs="Times New Roman"/>
          <w:kern w:val="0"/>
          <w14:ligatures w14:val="none"/>
        </w:rPr>
        <w:t>building blocks</w:t>
      </w:r>
      <w:r w:rsidRPr="00421276">
        <w:rPr>
          <w:rFonts w:ascii="Times New Roman" w:eastAsia="Times New Roman" w:hAnsi="Times New Roman" w:cs="Times New Roman"/>
          <w:kern w:val="0"/>
          <w14:ligatures w14:val="none"/>
        </w:rPr>
        <w:t xml:space="preserve"> were sturdy enough to absorb technological change. That same confidence underlies the</w:t>
      </w:r>
      <w:r w:rsidR="00BE0AAB">
        <w:rPr>
          <w:rFonts w:ascii="Times New Roman" w:eastAsia="Times New Roman" w:hAnsi="Times New Roman" w:cs="Times New Roman"/>
          <w:kern w:val="0"/>
          <w14:ligatures w14:val="none"/>
        </w:rPr>
        <w:t xml:space="preserve"> Office</w:t>
      </w:r>
      <w:r w:rsidRPr="00421276">
        <w:rPr>
          <w:rFonts w:ascii="Times New Roman" w:eastAsia="Times New Roman" w:hAnsi="Times New Roman" w:cs="Times New Roman"/>
          <w:kern w:val="0"/>
          <w14:ligatures w14:val="none"/>
        </w:rPr>
        <w:t xml:space="preserve">’s current stance </w:t>
      </w:r>
      <w:r w:rsidR="00386674">
        <w:rPr>
          <w:rFonts w:ascii="Times New Roman" w:eastAsia="Times New Roman" w:hAnsi="Times New Roman" w:cs="Times New Roman"/>
          <w:kern w:val="0"/>
          <w14:ligatures w14:val="none"/>
        </w:rPr>
        <w:t>on AI</w:t>
      </w:r>
      <w:r w:rsidRPr="00421276">
        <w:rPr>
          <w:rFonts w:ascii="Times New Roman" w:eastAsia="Times New Roman" w:hAnsi="Times New Roman" w:cs="Times New Roman"/>
          <w:kern w:val="0"/>
          <w14:ligatures w14:val="none"/>
        </w:rPr>
        <w:t xml:space="preserve">. In </w:t>
      </w:r>
      <w:r w:rsidR="00386674" w:rsidRPr="00386674">
        <w:rPr>
          <w:rFonts w:ascii="Times New Roman" w:eastAsia="Times New Roman" w:hAnsi="Times New Roman" w:cs="Times New Roman"/>
          <w:i/>
          <w:kern w:val="0"/>
          <w14:ligatures w14:val="none"/>
        </w:rPr>
        <w:t>Copyright Office: Part 2</w:t>
      </w:r>
      <w:r w:rsidR="00386674">
        <w:rPr>
          <w:rFonts w:ascii="Times New Roman" w:eastAsia="Times New Roman" w:hAnsi="Times New Roman" w:cs="Times New Roman"/>
          <w:kern w:val="0"/>
          <w14:ligatures w14:val="none"/>
        </w:rPr>
        <w:t>, the Office stated that “the case has not been made for additional protection for</w:t>
      </w:r>
      <w:r w:rsidRPr="00421276">
        <w:rPr>
          <w:rFonts w:ascii="Times New Roman" w:eastAsia="Times New Roman" w:hAnsi="Times New Roman" w:cs="Times New Roman"/>
          <w:kern w:val="0"/>
          <w14:ligatures w14:val="none"/>
        </w:rPr>
        <w:t xml:space="preserve"> </w:t>
      </w:r>
      <w:r w:rsidR="00386674">
        <w:rPr>
          <w:rFonts w:ascii="Times New Roman" w:eastAsia="Times New Roman" w:hAnsi="Times New Roman" w:cs="Times New Roman"/>
          <w:kern w:val="0"/>
          <w14:ligatures w14:val="none"/>
        </w:rPr>
        <w:t>AI-generated material beyond that provided by existing law. As an initial matter, because copyright requires human authorship, copyright law cannot be the basis of protection of works that do not satisfy that requirement.”</w:t>
      </w:r>
      <w:r w:rsidR="00386674">
        <w:rPr>
          <w:rStyle w:val="FootnoteReference"/>
          <w:rFonts w:ascii="Times New Roman" w:eastAsia="Times New Roman" w:hAnsi="Times New Roman" w:cs="Times New Roman"/>
          <w:kern w:val="0"/>
          <w14:ligatures w14:val="none"/>
        </w:rPr>
        <w:footnoteReference w:id="19"/>
      </w:r>
    </w:p>
    <w:p w14:paraId="7EECEF87" w14:textId="0BADF025" w:rsidR="009626F4" w:rsidRPr="00421276" w:rsidRDefault="009626F4" w:rsidP="00D42491">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Just as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prompted fears that databases would slip through the cracks of protection, AI has revived anxiety about whether creativity itself might outgrow copyright’s reach. In both </w:t>
      </w:r>
      <w:r w:rsidR="00EC0BE0">
        <w:rPr>
          <w:rFonts w:ascii="Times New Roman" w:eastAsia="Times New Roman" w:hAnsi="Times New Roman" w:cs="Times New Roman"/>
          <w:kern w:val="0"/>
          <w14:ligatures w14:val="none"/>
        </w:rPr>
        <w:t>situations</w:t>
      </w:r>
      <w:r w:rsidRPr="00421276">
        <w:rPr>
          <w:rFonts w:ascii="Times New Roman" w:eastAsia="Times New Roman" w:hAnsi="Times New Roman" w:cs="Times New Roman"/>
          <w:kern w:val="0"/>
          <w14:ligatures w14:val="none"/>
        </w:rPr>
        <w:t xml:space="preserve">, policymakers concluded that the better course was </w:t>
      </w:r>
      <w:r w:rsidRPr="00C01127">
        <w:rPr>
          <w:rFonts w:ascii="Times New Roman" w:eastAsia="Times New Roman" w:hAnsi="Times New Roman" w:cs="Times New Roman"/>
          <w:kern w:val="0"/>
          <w14:ligatures w14:val="none"/>
        </w:rPr>
        <w:t>interpretive adaptation</w:t>
      </w:r>
      <w:r w:rsidRPr="00421276">
        <w:rPr>
          <w:rFonts w:ascii="Times New Roman" w:eastAsia="Times New Roman" w:hAnsi="Times New Roman" w:cs="Times New Roman"/>
          <w:kern w:val="0"/>
          <w14:ligatures w14:val="none"/>
        </w:rPr>
        <w:t xml:space="preserve"> rather than legislative reinvention.</w:t>
      </w:r>
      <w:r w:rsidR="00A40A3C">
        <w:rPr>
          <w:rStyle w:val="FootnoteReference"/>
          <w:rFonts w:ascii="Times New Roman" w:eastAsia="Times New Roman" w:hAnsi="Times New Roman" w:cs="Times New Roman"/>
          <w:kern w:val="0"/>
          <w14:ligatures w14:val="none"/>
        </w:rPr>
        <w:footnoteReference w:id="20"/>
      </w:r>
      <w:r w:rsidR="00EA5DD8">
        <w:rPr>
          <w:rFonts w:ascii="Times New Roman" w:eastAsia="Times New Roman" w:hAnsi="Times New Roman" w:cs="Times New Roman"/>
          <w:kern w:val="0"/>
          <w14:ligatures w14:val="none"/>
        </w:rPr>
        <w:t xml:space="preserve"> </w:t>
      </w:r>
    </w:p>
    <w:p w14:paraId="62AE0D0B" w14:textId="3C00CE0E" w:rsidR="009626F4" w:rsidRPr="00421276" w:rsidRDefault="009626F4" w:rsidP="004212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 w:name="_Toc220693044"/>
      <w:r w:rsidRPr="00421276">
        <w:rPr>
          <w:rFonts w:ascii="Times New Roman" w:eastAsia="Times New Roman" w:hAnsi="Times New Roman" w:cs="Times New Roman"/>
          <w:b/>
          <w:bCs/>
          <w:kern w:val="0"/>
          <w:sz w:val="27"/>
          <w:szCs w:val="27"/>
          <w14:ligatures w14:val="none"/>
        </w:rPr>
        <w:t>C. Originality, Data Curation, and the AI Analogy</w:t>
      </w:r>
      <w:bookmarkEnd w:id="12"/>
      <w:r w:rsidR="00C01127" w:rsidRPr="00C01127">
        <w:rPr>
          <w:rFonts w:ascii="Times New Roman" w:eastAsia="Times New Roman" w:hAnsi="Times New Roman" w:cs="Times New Roman"/>
          <w:kern w:val="0"/>
          <w14:ligatures w14:val="none"/>
        </w:rPr>
        <w:t xml:space="preserve"> </w:t>
      </w:r>
    </w:p>
    <w:p w14:paraId="4A375AB4" w14:textId="15B57360"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AI training datasets pose the same conceptual problem that </w:t>
      </w:r>
      <w:r w:rsidRPr="00421276">
        <w:rPr>
          <w:rFonts w:ascii="Times New Roman" w:eastAsia="Times New Roman" w:hAnsi="Times New Roman" w:cs="Times New Roman"/>
          <w:i/>
          <w:iCs/>
          <w:kern w:val="0"/>
          <w14:ligatures w14:val="none"/>
        </w:rPr>
        <w:t>Feist</w:t>
      </w:r>
      <w:r w:rsidRPr="00421276">
        <w:rPr>
          <w:rFonts w:ascii="Times New Roman" w:eastAsia="Times New Roman" w:hAnsi="Times New Roman" w:cs="Times New Roman"/>
          <w:kern w:val="0"/>
          <w14:ligatures w14:val="none"/>
        </w:rPr>
        <w:t xml:space="preserve"> resolved. Massive </w:t>
      </w:r>
      <w:r w:rsidR="008A786B">
        <w:rPr>
          <w:rFonts w:ascii="Times New Roman" w:eastAsia="Times New Roman" w:hAnsi="Times New Roman" w:cs="Times New Roman"/>
          <w:kern w:val="0"/>
          <w14:ligatures w14:val="none"/>
        </w:rPr>
        <w:t>amounts</w:t>
      </w:r>
      <w:r w:rsidRPr="00421276">
        <w:rPr>
          <w:rFonts w:ascii="Times New Roman" w:eastAsia="Times New Roman" w:hAnsi="Times New Roman" w:cs="Times New Roman"/>
          <w:kern w:val="0"/>
          <w14:ligatures w14:val="none"/>
        </w:rPr>
        <w:t xml:space="preserve"> of images, text, and music are not protectable in </w:t>
      </w:r>
      <w:r w:rsidR="00911021">
        <w:rPr>
          <w:rFonts w:ascii="Times New Roman" w:eastAsia="Times New Roman" w:hAnsi="Times New Roman" w:cs="Times New Roman"/>
          <w:kern w:val="0"/>
          <w14:ligatures w14:val="none"/>
        </w:rPr>
        <w:t xml:space="preserve">and of </w:t>
      </w:r>
      <w:r w:rsidRPr="00421276">
        <w:rPr>
          <w:rFonts w:ascii="Times New Roman" w:eastAsia="Times New Roman" w:hAnsi="Times New Roman" w:cs="Times New Roman"/>
          <w:kern w:val="0"/>
          <w14:ligatures w14:val="none"/>
        </w:rPr>
        <w:t xml:space="preserve">themselves; only the </w:t>
      </w:r>
      <w:r w:rsidRPr="00C01127">
        <w:rPr>
          <w:rFonts w:ascii="Times New Roman" w:eastAsia="Times New Roman" w:hAnsi="Times New Roman" w:cs="Times New Roman"/>
          <w:kern w:val="0"/>
          <w14:ligatures w14:val="none"/>
        </w:rPr>
        <w:t>original selection and</w:t>
      </w:r>
      <w:r w:rsidRPr="00421276">
        <w:rPr>
          <w:rFonts w:ascii="Times New Roman" w:eastAsia="Times New Roman" w:hAnsi="Times New Roman" w:cs="Times New Roman"/>
          <w:b/>
          <w:bCs/>
          <w:kern w:val="0"/>
          <w14:ligatures w14:val="none"/>
        </w:rPr>
        <w:t xml:space="preserve"> </w:t>
      </w:r>
      <w:r w:rsidR="00F70201" w:rsidRPr="00F70201">
        <w:rPr>
          <w:rFonts w:ascii="Times New Roman" w:eastAsia="Times New Roman" w:hAnsi="Times New Roman" w:cs="Times New Roman"/>
          <w:kern w:val="0"/>
          <w14:ligatures w14:val="none"/>
        </w:rPr>
        <w:t>arrangement</w:t>
      </w:r>
      <w:r w:rsidR="00F70201">
        <w:rPr>
          <w:rFonts w:ascii="Times New Roman" w:eastAsia="Times New Roman" w:hAnsi="Times New Roman" w:cs="Times New Roman"/>
          <w:b/>
          <w:bCs/>
          <w:kern w:val="0"/>
          <w14:ligatures w14:val="none"/>
        </w:rPr>
        <w:t xml:space="preserve"> </w:t>
      </w:r>
      <w:r w:rsidRPr="00421276">
        <w:rPr>
          <w:rFonts w:ascii="Times New Roman" w:eastAsia="Times New Roman" w:hAnsi="Times New Roman" w:cs="Times New Roman"/>
          <w:kern w:val="0"/>
          <w14:ligatures w14:val="none"/>
        </w:rPr>
        <w:t xml:space="preserve">of such data—if creative—could merit protection. </w:t>
      </w:r>
      <w:r w:rsidR="00EC0BE0">
        <w:rPr>
          <w:rFonts w:ascii="Times New Roman" w:eastAsia="Times New Roman" w:hAnsi="Times New Roman" w:cs="Times New Roman"/>
          <w:kern w:val="0"/>
          <w14:ligatures w14:val="none"/>
        </w:rPr>
        <w:t>C</w:t>
      </w:r>
      <w:r w:rsidRPr="00421276">
        <w:rPr>
          <w:rFonts w:ascii="Times New Roman" w:eastAsia="Times New Roman" w:hAnsi="Times New Roman" w:cs="Times New Roman"/>
          <w:kern w:val="0"/>
          <w14:ligatures w14:val="none"/>
        </w:rPr>
        <w:t xml:space="preserve">uration </w:t>
      </w:r>
      <w:r w:rsidR="00EC0BE0">
        <w:rPr>
          <w:rFonts w:ascii="Times New Roman" w:eastAsia="Times New Roman" w:hAnsi="Times New Roman" w:cs="Times New Roman"/>
          <w:kern w:val="0"/>
          <w14:ligatures w14:val="none"/>
        </w:rPr>
        <w:t xml:space="preserve">of data and datasets </w:t>
      </w:r>
      <w:r w:rsidRPr="00421276">
        <w:rPr>
          <w:rFonts w:ascii="Times New Roman" w:eastAsia="Times New Roman" w:hAnsi="Times New Roman" w:cs="Times New Roman"/>
          <w:kern w:val="0"/>
          <w14:ligatures w14:val="none"/>
        </w:rPr>
        <w:t>may involve judgment about relevance or quality, but unless those judgments reflect expressive choices, the result is factual, not creative.</w:t>
      </w:r>
      <w:r w:rsidR="00321A17">
        <w:rPr>
          <w:rFonts w:ascii="Times New Roman" w:eastAsia="Times New Roman" w:hAnsi="Times New Roman" w:cs="Times New Roman"/>
          <w:kern w:val="0"/>
          <w14:ligatures w14:val="none"/>
        </w:rPr>
        <w:t xml:space="preserve"> </w:t>
      </w:r>
      <w:r w:rsidR="006867E3">
        <w:rPr>
          <w:rFonts w:ascii="Times New Roman" w:eastAsia="Times New Roman" w:hAnsi="Times New Roman" w:cs="Times New Roman"/>
          <w:kern w:val="0"/>
          <w14:ligatures w14:val="none"/>
        </w:rPr>
        <w:t xml:space="preserve">The Office </w:t>
      </w:r>
      <w:r w:rsidR="00321A17" w:rsidRPr="00321A17">
        <w:rPr>
          <w:rFonts w:ascii="Times New Roman" w:eastAsia="Times New Roman" w:hAnsi="Times New Roman" w:cs="Times New Roman"/>
          <w:kern w:val="0"/>
          <w14:ligatures w14:val="none"/>
        </w:rPr>
        <w:t xml:space="preserve">extends </w:t>
      </w:r>
      <w:r w:rsidR="00321A17" w:rsidRPr="00321A17">
        <w:rPr>
          <w:rFonts w:ascii="Times New Roman" w:eastAsia="Times New Roman" w:hAnsi="Times New Roman" w:cs="Times New Roman"/>
          <w:i/>
          <w:iCs/>
          <w:kern w:val="0"/>
          <w14:ligatures w14:val="none"/>
        </w:rPr>
        <w:t>Feist</w:t>
      </w:r>
      <w:r w:rsidR="00321A17" w:rsidRPr="00321A17">
        <w:rPr>
          <w:rFonts w:ascii="Times New Roman" w:eastAsia="Times New Roman" w:hAnsi="Times New Roman" w:cs="Times New Roman"/>
          <w:kern w:val="0"/>
          <w14:ligatures w14:val="none"/>
        </w:rPr>
        <w:t>’s reasoning to the AI context, emphasizing that creativity—not computation—remains the touchstone of authorship.</w:t>
      </w:r>
      <w:r w:rsidR="00321A17">
        <w:rPr>
          <w:rStyle w:val="FootnoteReference"/>
          <w:rFonts w:ascii="Times New Roman" w:eastAsia="Times New Roman" w:hAnsi="Times New Roman" w:cs="Times New Roman"/>
          <w:kern w:val="0"/>
          <w14:ligatures w14:val="none"/>
        </w:rPr>
        <w:footnoteReference w:id="21"/>
      </w:r>
    </w:p>
    <w:p w14:paraId="489F80F5" w14:textId="69717424" w:rsidR="009626F4" w:rsidRPr="00D0211B" w:rsidRDefault="009626F4" w:rsidP="008A786B">
      <w:pPr>
        <w:spacing w:before="100" w:beforeAutospacing="1" w:after="100" w:afterAutospacing="1" w:line="240" w:lineRule="auto"/>
        <w:rPr>
          <w:rFonts w:ascii="Times New Roman" w:eastAsia="Times New Roman" w:hAnsi="Times New Roman" w:cs="Times New Roman"/>
          <w:kern w:val="0"/>
          <w14:ligatures w14:val="none"/>
        </w:rPr>
      </w:pPr>
      <w:r w:rsidRPr="00D0211B">
        <w:rPr>
          <w:rFonts w:ascii="Times New Roman" w:eastAsia="Times New Roman" w:hAnsi="Times New Roman" w:cs="Times New Roman"/>
          <w:kern w:val="0"/>
          <w14:ligatures w14:val="none"/>
        </w:rPr>
        <w:t xml:space="preserve">From this perspective, the output of an AI system built on such data may reflect a new synthesis but not a new exception to copyright. </w:t>
      </w:r>
      <w:r w:rsidR="004F6299">
        <w:rPr>
          <w:rFonts w:ascii="Times New Roman" w:eastAsia="Times New Roman" w:hAnsi="Times New Roman" w:cs="Times New Roman"/>
          <w:kern w:val="0"/>
          <w14:ligatures w14:val="none"/>
        </w:rPr>
        <w:t>AI m</w:t>
      </w:r>
      <w:r w:rsidRPr="00D0211B">
        <w:rPr>
          <w:rFonts w:ascii="Times New Roman" w:eastAsia="Times New Roman" w:hAnsi="Times New Roman" w:cs="Times New Roman"/>
          <w:kern w:val="0"/>
          <w14:ligatures w14:val="none"/>
        </w:rPr>
        <w:t xml:space="preserve">odels learn from prior works the way human artists internalize genre conventions: they imitate structure, not expression. The originality test that </w:t>
      </w:r>
      <w:r w:rsidRPr="00D0211B">
        <w:rPr>
          <w:rFonts w:ascii="Times New Roman" w:eastAsia="Times New Roman" w:hAnsi="Times New Roman" w:cs="Times New Roman"/>
          <w:i/>
          <w:iCs/>
          <w:kern w:val="0"/>
          <w14:ligatures w14:val="none"/>
        </w:rPr>
        <w:lastRenderedPageBreak/>
        <w:t>Feist</w:t>
      </w:r>
      <w:r w:rsidRPr="00D0211B">
        <w:rPr>
          <w:rFonts w:ascii="Times New Roman" w:eastAsia="Times New Roman" w:hAnsi="Times New Roman" w:cs="Times New Roman"/>
          <w:kern w:val="0"/>
          <w14:ligatures w14:val="none"/>
        </w:rPr>
        <w:t xml:space="preserve"> refined thus becomes the gatekeeper for AI authorship. If a human makes meaningful creative choices in selecting or prompting the model, the resulting work may embody authorship; if not, it is closer to an unprotectable fact pattern.</w:t>
      </w:r>
      <w:r w:rsidR="009C0CB0">
        <w:rPr>
          <w:rFonts w:ascii="Times New Roman" w:eastAsia="Times New Roman" w:hAnsi="Times New Roman" w:cs="Times New Roman"/>
          <w:kern w:val="0"/>
          <w14:ligatures w14:val="none"/>
        </w:rPr>
        <w:t xml:space="preserve"> </w:t>
      </w:r>
      <w:r w:rsidR="009C0CB0" w:rsidRPr="009C0CB0">
        <w:rPr>
          <w:rFonts w:ascii="Times New Roman" w:eastAsia="Times New Roman" w:hAnsi="Times New Roman" w:cs="Times New Roman"/>
          <w:i/>
          <w:kern w:val="0"/>
          <w14:ligatures w14:val="none"/>
        </w:rPr>
        <w:t>See infra</w:t>
      </w:r>
      <w:r w:rsidR="009C0CB0" w:rsidRPr="009C0CB0">
        <w:rPr>
          <w:rFonts w:ascii="Times New Roman" w:eastAsia="Times New Roman" w:hAnsi="Times New Roman" w:cs="Times New Roman"/>
          <w:kern w:val="0"/>
          <w14:ligatures w14:val="none"/>
        </w:rPr>
        <w:t xml:space="preserve"> Part</w:t>
      </w:r>
      <w:r w:rsidR="009C0CB0">
        <w:rPr>
          <w:rFonts w:ascii="Times New Roman" w:eastAsia="Times New Roman" w:hAnsi="Times New Roman" w:cs="Times New Roman"/>
          <w:kern w:val="0"/>
          <w14:ligatures w14:val="none"/>
        </w:rPr>
        <w:t xml:space="preserve"> III. </w:t>
      </w:r>
    </w:p>
    <w:p w14:paraId="2A23217B" w14:textId="48A2EDB2" w:rsidR="009626F4" w:rsidRPr="00421276" w:rsidRDefault="009626F4" w:rsidP="008A786B">
      <w:pPr>
        <w:spacing w:before="100" w:beforeAutospacing="1" w:after="100" w:afterAutospacing="1" w:line="240" w:lineRule="auto"/>
        <w:rPr>
          <w:rFonts w:ascii="Times New Roman" w:eastAsia="Times New Roman" w:hAnsi="Times New Roman" w:cs="Times New Roman"/>
          <w:kern w:val="0"/>
          <w14:ligatures w14:val="none"/>
        </w:rPr>
      </w:pPr>
      <w:r w:rsidRPr="00D0211B">
        <w:rPr>
          <w:rFonts w:ascii="Times New Roman" w:eastAsia="Times New Roman" w:hAnsi="Times New Roman" w:cs="Times New Roman"/>
          <w:kern w:val="0"/>
          <w14:ligatures w14:val="none"/>
        </w:rPr>
        <w:t xml:space="preserve">The </w:t>
      </w:r>
      <w:r w:rsidRPr="00D0211B">
        <w:rPr>
          <w:rFonts w:ascii="Times New Roman" w:eastAsia="Times New Roman" w:hAnsi="Times New Roman" w:cs="Times New Roman"/>
          <w:i/>
          <w:iCs/>
          <w:kern w:val="0"/>
          <w14:ligatures w14:val="none"/>
        </w:rPr>
        <w:t>Feist</w:t>
      </w:r>
      <w:r w:rsidRPr="00D0211B">
        <w:rPr>
          <w:rFonts w:ascii="Times New Roman" w:eastAsia="Times New Roman" w:hAnsi="Times New Roman" w:cs="Times New Roman"/>
          <w:kern w:val="0"/>
          <w14:ligatures w14:val="none"/>
        </w:rPr>
        <w:t xml:space="preserve"> principle also illuminates why proposals for expansive rights in data or algorithms risk undermining copyright’s balance. Facts, processes, and systems have long been excluded precisely because they serve as the building materials of creativity.</w:t>
      </w:r>
      <w:r w:rsidR="002C49B8" w:rsidRPr="00D0211B">
        <w:rPr>
          <w:rStyle w:val="FootnoteReference"/>
          <w:rFonts w:ascii="Times New Roman" w:eastAsia="Times New Roman" w:hAnsi="Times New Roman" w:cs="Times New Roman"/>
          <w:kern w:val="0"/>
          <w14:ligatures w14:val="none"/>
        </w:rPr>
        <w:footnoteReference w:id="22"/>
      </w:r>
      <w:r w:rsidRPr="00D0211B">
        <w:rPr>
          <w:rFonts w:ascii="Times New Roman" w:eastAsia="Times New Roman" w:hAnsi="Times New Roman" w:cs="Times New Roman"/>
          <w:kern w:val="0"/>
          <w14:ligatures w14:val="none"/>
        </w:rPr>
        <w:t xml:space="preserve"> </w:t>
      </w:r>
      <w:r w:rsidR="00F70201" w:rsidRPr="00D0211B">
        <w:rPr>
          <w:rFonts w:ascii="Times New Roman" w:eastAsia="Times New Roman" w:hAnsi="Times New Roman" w:cs="Times New Roman"/>
          <w:kern w:val="0"/>
          <w14:ligatures w14:val="none"/>
        </w:rPr>
        <w:t xml:space="preserve">Extending proprietary </w:t>
      </w:r>
      <w:r w:rsidR="00F70201" w:rsidRPr="00D72881">
        <w:rPr>
          <w:rFonts w:ascii="Times New Roman" w:eastAsia="Times New Roman" w:hAnsi="Times New Roman" w:cs="Times New Roman"/>
          <w:kern w:val="0"/>
          <w14:ligatures w14:val="none"/>
        </w:rPr>
        <w:t xml:space="preserve">claims over facts or algorithms would erode the commons </w:t>
      </w:r>
      <w:r w:rsidR="004B3FF8">
        <w:rPr>
          <w:rFonts w:ascii="Times New Roman" w:eastAsia="Times New Roman" w:hAnsi="Times New Roman" w:cs="Times New Roman"/>
          <w:kern w:val="0"/>
          <w14:ligatures w14:val="none"/>
        </w:rPr>
        <w:t>up</w:t>
      </w:r>
      <w:r w:rsidR="00F70201" w:rsidRPr="00D72881">
        <w:rPr>
          <w:rFonts w:ascii="Times New Roman" w:eastAsia="Times New Roman" w:hAnsi="Times New Roman" w:cs="Times New Roman"/>
          <w:kern w:val="0"/>
          <w14:ligatures w14:val="none"/>
        </w:rPr>
        <w:t>on which creativity depends</w:t>
      </w:r>
      <w:r w:rsidR="00792F84">
        <w:rPr>
          <w:rFonts w:ascii="Times New Roman" w:eastAsia="Times New Roman" w:hAnsi="Times New Roman" w:cs="Times New Roman"/>
          <w:kern w:val="0"/>
          <w14:ligatures w14:val="none"/>
        </w:rPr>
        <w:t>.</w:t>
      </w:r>
    </w:p>
    <w:p w14:paraId="19F67320" w14:textId="6C266D4C" w:rsidR="005F1CF0" w:rsidRPr="001546EA" w:rsidRDefault="005F1CF0" w:rsidP="005F1CF0">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bookmarkStart w:id="13" w:name="_Toc211877764"/>
      <w:bookmarkStart w:id="14" w:name="_Toc220693045"/>
      <w:r w:rsidRPr="001546EA">
        <w:rPr>
          <w:rFonts w:ascii="Times New Roman" w:eastAsia="Times New Roman" w:hAnsi="Times New Roman" w:cs="Times New Roman"/>
          <w:b/>
          <w:bCs/>
          <w:kern w:val="0"/>
          <w:sz w:val="36"/>
          <w:szCs w:val="36"/>
          <w14:ligatures w14:val="none"/>
        </w:rPr>
        <w:t xml:space="preserve">PART </w:t>
      </w:r>
      <w:r>
        <w:rPr>
          <w:rFonts w:ascii="Times New Roman" w:eastAsia="Times New Roman" w:hAnsi="Times New Roman" w:cs="Times New Roman"/>
          <w:b/>
          <w:bCs/>
          <w:kern w:val="0"/>
          <w:sz w:val="36"/>
          <w:szCs w:val="36"/>
          <w14:ligatures w14:val="none"/>
        </w:rPr>
        <w:t>II</w:t>
      </w:r>
      <w:r w:rsidRPr="001546EA">
        <w:rPr>
          <w:rFonts w:ascii="Times New Roman" w:eastAsia="Times New Roman" w:hAnsi="Times New Roman" w:cs="Times New Roman"/>
          <w:b/>
          <w:bCs/>
          <w:kern w:val="0"/>
          <w:sz w:val="36"/>
          <w:szCs w:val="36"/>
          <w14:ligatures w14:val="none"/>
        </w:rPr>
        <w:t>I</w:t>
      </w:r>
      <w:r>
        <w:rPr>
          <w:rFonts w:ascii="Times New Roman" w:eastAsia="Times New Roman" w:hAnsi="Times New Roman" w:cs="Times New Roman"/>
          <w:b/>
          <w:bCs/>
          <w:kern w:val="0"/>
          <w:sz w:val="36"/>
          <w:szCs w:val="36"/>
          <w14:ligatures w14:val="none"/>
        </w:rPr>
        <w:t xml:space="preserve">. </w:t>
      </w:r>
      <w:r w:rsidRPr="0042401D">
        <w:rPr>
          <w:rFonts w:ascii="Times New Roman" w:eastAsia="Times New Roman" w:hAnsi="Times New Roman" w:cs="Times New Roman"/>
          <w:b/>
          <w:bCs/>
          <w:kern w:val="0"/>
          <w:sz w:val="36"/>
          <w:szCs w:val="36"/>
          <w14:ligatures w14:val="none"/>
        </w:rPr>
        <w:t>THE HUMAN AUTHORSHIP REQUIREMENT</w:t>
      </w:r>
      <w:bookmarkEnd w:id="13"/>
      <w:bookmarkEnd w:id="14"/>
    </w:p>
    <w:p w14:paraId="5BF9CBD7" w14:textId="7CBA6D36" w:rsidR="00034DDB" w:rsidRPr="001546EA" w:rsidRDefault="00034DDB" w:rsidP="00034DDB">
      <w:pPr>
        <w:spacing w:before="100" w:beforeAutospacing="1" w:after="100" w:afterAutospacing="1" w:line="240" w:lineRule="auto"/>
        <w:rPr>
          <w:rFonts w:ascii="Times New Roman" w:eastAsia="Times New Roman" w:hAnsi="Times New Roman" w:cs="Times New Roman"/>
          <w:kern w:val="0"/>
          <w14:ligatures w14:val="none"/>
        </w:rPr>
      </w:pPr>
      <w:r w:rsidRPr="001546EA">
        <w:rPr>
          <w:rFonts w:ascii="Times New Roman" w:eastAsia="Times New Roman" w:hAnsi="Times New Roman" w:cs="Times New Roman"/>
          <w:kern w:val="0"/>
          <w14:ligatures w14:val="none"/>
        </w:rPr>
        <w:t xml:space="preserve">Authorship has long been </w:t>
      </w:r>
      <w:r w:rsidR="004B3FF8">
        <w:rPr>
          <w:rFonts w:ascii="Times New Roman" w:eastAsia="Times New Roman" w:hAnsi="Times New Roman" w:cs="Times New Roman"/>
          <w:kern w:val="0"/>
          <w14:ligatures w14:val="none"/>
        </w:rPr>
        <w:t>a</w:t>
      </w:r>
      <w:r w:rsidRPr="001546EA">
        <w:rPr>
          <w:rFonts w:ascii="Times New Roman" w:eastAsia="Times New Roman" w:hAnsi="Times New Roman" w:cs="Times New Roman"/>
          <w:kern w:val="0"/>
          <w14:ligatures w14:val="none"/>
        </w:rPr>
        <w:t xml:space="preserve"> cornerstone of copyright law. The principle was first articulated in </w:t>
      </w:r>
      <w:r w:rsidRPr="001546EA">
        <w:rPr>
          <w:rFonts w:ascii="Times New Roman" w:eastAsia="Times New Roman" w:hAnsi="Times New Roman" w:cs="Times New Roman"/>
          <w:i/>
          <w:iCs/>
          <w:kern w:val="0"/>
          <w14:ligatures w14:val="none"/>
        </w:rPr>
        <w:t>Burrow-Giles</w:t>
      </w:r>
      <w:r w:rsidRPr="001546EA">
        <w:rPr>
          <w:rFonts w:ascii="Times New Roman" w:eastAsia="Times New Roman" w:hAnsi="Times New Roman" w:cs="Times New Roman"/>
          <w:kern w:val="0"/>
          <w14:ligatures w14:val="none"/>
        </w:rPr>
        <w:t xml:space="preserve">, where the Court upheld </w:t>
      </w:r>
      <w:r w:rsidR="00D72881">
        <w:rPr>
          <w:rFonts w:ascii="Times New Roman" w:eastAsia="Times New Roman" w:hAnsi="Times New Roman" w:cs="Times New Roman"/>
          <w:kern w:val="0"/>
          <w14:ligatures w14:val="none"/>
        </w:rPr>
        <w:t>a</w:t>
      </w:r>
      <w:r w:rsidRPr="001546EA">
        <w:rPr>
          <w:rFonts w:ascii="Times New Roman" w:eastAsia="Times New Roman" w:hAnsi="Times New Roman" w:cs="Times New Roman"/>
          <w:kern w:val="0"/>
          <w14:ligatures w14:val="none"/>
        </w:rPr>
        <w:t xml:space="preserve"> photographer’s claim that his portrait of Oscar Wilde was a product of creative authorship.</w:t>
      </w:r>
      <w:r>
        <w:rPr>
          <w:rStyle w:val="FootnoteReference"/>
          <w:rFonts w:ascii="Times New Roman" w:eastAsia="Times New Roman" w:hAnsi="Times New Roman" w:cs="Times New Roman"/>
          <w:kern w:val="0"/>
          <w14:ligatures w14:val="none"/>
        </w:rPr>
        <w:footnoteReference w:id="23"/>
      </w:r>
      <w:r w:rsidRPr="001546EA">
        <w:rPr>
          <w:rFonts w:ascii="Times New Roman" w:eastAsia="Times New Roman" w:hAnsi="Times New Roman" w:cs="Times New Roman"/>
          <w:kern w:val="0"/>
          <w14:ligatures w14:val="none"/>
        </w:rPr>
        <w:t xml:space="preserve"> The decision emphasized that the photographer’s choices of pose, lighting, and composition transformed a mechanical process into protected human expression.</w:t>
      </w:r>
      <w:r>
        <w:rPr>
          <w:rStyle w:val="FootnoteReference"/>
          <w:rFonts w:ascii="Times New Roman" w:eastAsia="Times New Roman" w:hAnsi="Times New Roman" w:cs="Times New Roman"/>
          <w:kern w:val="0"/>
          <w14:ligatures w14:val="none"/>
        </w:rPr>
        <w:footnoteReference w:id="24"/>
      </w:r>
    </w:p>
    <w:p w14:paraId="190DE328" w14:textId="58AF0227" w:rsidR="00034DDB" w:rsidRPr="001546EA" w:rsidRDefault="00034DDB" w:rsidP="00034DDB">
      <w:pPr>
        <w:spacing w:before="100" w:beforeAutospacing="1" w:after="100" w:afterAutospacing="1" w:line="240" w:lineRule="auto"/>
        <w:rPr>
          <w:rFonts w:ascii="Times New Roman" w:eastAsia="Times New Roman" w:hAnsi="Times New Roman" w:cs="Times New Roman"/>
          <w:kern w:val="0"/>
          <w14:ligatures w14:val="none"/>
        </w:rPr>
      </w:pPr>
      <w:r w:rsidRPr="001546EA">
        <w:rPr>
          <w:rFonts w:ascii="Times New Roman" w:eastAsia="Times New Roman" w:hAnsi="Times New Roman" w:cs="Times New Roman"/>
          <w:kern w:val="0"/>
          <w14:ligatures w14:val="none"/>
        </w:rPr>
        <w:t xml:space="preserve">More than a century later, the same question reemerged in the age of artificial intelligence. In </w:t>
      </w:r>
      <w:r w:rsidRPr="001546EA">
        <w:rPr>
          <w:rFonts w:ascii="Times New Roman" w:eastAsia="Times New Roman" w:hAnsi="Times New Roman" w:cs="Times New Roman"/>
          <w:i/>
          <w:iCs/>
          <w:kern w:val="0"/>
          <w14:ligatures w14:val="none"/>
        </w:rPr>
        <w:t>Thaler v. Perlmutter</w:t>
      </w:r>
      <w:r w:rsidRPr="001546EA">
        <w:rPr>
          <w:rFonts w:ascii="Times New Roman" w:eastAsia="Times New Roman" w:hAnsi="Times New Roman" w:cs="Times New Roman"/>
          <w:kern w:val="0"/>
          <w14:ligatures w14:val="none"/>
        </w:rPr>
        <w:t xml:space="preserve">, the plaintiff sought to register an artwork generated entirely by an AI system known as “Creativity Machine,” </w:t>
      </w:r>
      <w:r>
        <w:rPr>
          <w:rFonts w:ascii="Times New Roman" w:eastAsia="Times New Roman" w:hAnsi="Times New Roman" w:cs="Times New Roman"/>
          <w:kern w:val="0"/>
          <w14:ligatures w14:val="none"/>
        </w:rPr>
        <w:t>list</w:t>
      </w:r>
      <w:r w:rsidRPr="001546EA">
        <w:rPr>
          <w:rFonts w:ascii="Times New Roman" w:eastAsia="Times New Roman" w:hAnsi="Times New Roman" w:cs="Times New Roman"/>
          <w:kern w:val="0"/>
          <w14:ligatures w14:val="none"/>
        </w:rPr>
        <w:t>ing the computer as the author.</w:t>
      </w:r>
      <w:r>
        <w:rPr>
          <w:rStyle w:val="FootnoteReference"/>
          <w:rFonts w:ascii="Times New Roman" w:eastAsia="Times New Roman" w:hAnsi="Times New Roman" w:cs="Times New Roman"/>
          <w:kern w:val="0"/>
          <w14:ligatures w14:val="none"/>
        </w:rPr>
        <w:footnoteReference w:id="25"/>
      </w:r>
      <w:r w:rsidRPr="001546EA">
        <w:rPr>
          <w:rFonts w:ascii="Times New Roman" w:eastAsia="Times New Roman" w:hAnsi="Times New Roman" w:cs="Times New Roman"/>
          <w:kern w:val="0"/>
          <w14:ligatures w14:val="none"/>
        </w:rPr>
        <w:t xml:space="preserve"> The </w:t>
      </w:r>
      <w:r w:rsidR="00BE0AAB">
        <w:rPr>
          <w:rFonts w:ascii="Times New Roman" w:eastAsia="Times New Roman" w:hAnsi="Times New Roman" w:cs="Times New Roman"/>
          <w:kern w:val="0"/>
          <w14:ligatures w14:val="none"/>
        </w:rPr>
        <w:t>Office</w:t>
      </w:r>
      <w:r w:rsidRPr="001546EA">
        <w:rPr>
          <w:rFonts w:ascii="Times New Roman" w:eastAsia="Times New Roman" w:hAnsi="Times New Roman" w:cs="Times New Roman"/>
          <w:kern w:val="0"/>
          <w14:ligatures w14:val="none"/>
        </w:rPr>
        <w:t xml:space="preserve"> denied registration on the ground that copyright protection extends only to human creators, a</w:t>
      </w:r>
      <w:r>
        <w:rPr>
          <w:rFonts w:ascii="Times New Roman" w:eastAsia="Times New Roman" w:hAnsi="Times New Roman" w:cs="Times New Roman"/>
          <w:kern w:val="0"/>
          <w14:ligatures w14:val="none"/>
        </w:rPr>
        <w:t xml:space="preserve">nd </w:t>
      </w:r>
      <w:r w:rsidRPr="001546EA">
        <w:rPr>
          <w:rFonts w:ascii="Times New Roman" w:eastAsia="Times New Roman" w:hAnsi="Times New Roman" w:cs="Times New Roman"/>
          <w:kern w:val="0"/>
          <w14:ligatures w14:val="none"/>
        </w:rPr>
        <w:t xml:space="preserve">the federal </w:t>
      </w:r>
      <w:r w:rsidR="004B3FF8">
        <w:rPr>
          <w:rFonts w:ascii="Times New Roman" w:eastAsia="Times New Roman" w:hAnsi="Times New Roman" w:cs="Times New Roman"/>
          <w:kern w:val="0"/>
          <w14:ligatures w14:val="none"/>
        </w:rPr>
        <w:t xml:space="preserve">district </w:t>
      </w:r>
      <w:r w:rsidRPr="001546EA">
        <w:rPr>
          <w:rFonts w:ascii="Times New Roman" w:eastAsia="Times New Roman" w:hAnsi="Times New Roman" w:cs="Times New Roman"/>
          <w:kern w:val="0"/>
          <w14:ligatures w14:val="none"/>
        </w:rPr>
        <w:t>court affirmed.</w:t>
      </w:r>
      <w:r>
        <w:rPr>
          <w:rStyle w:val="FootnoteReference"/>
          <w:rFonts w:ascii="Times New Roman" w:eastAsia="Times New Roman" w:hAnsi="Times New Roman" w:cs="Times New Roman"/>
          <w:kern w:val="0"/>
          <w14:ligatures w14:val="none"/>
        </w:rPr>
        <w:footnoteReference w:id="26"/>
      </w:r>
      <w:r w:rsidRPr="001546EA">
        <w:rPr>
          <w:rFonts w:ascii="Times New Roman" w:eastAsia="Times New Roman" w:hAnsi="Times New Roman" w:cs="Times New Roman"/>
          <w:kern w:val="0"/>
          <w14:ligatures w14:val="none"/>
        </w:rPr>
        <w:t xml:space="preserve"> The decision </w:t>
      </w:r>
      <w:r>
        <w:rPr>
          <w:rFonts w:ascii="Times New Roman" w:eastAsia="Times New Roman" w:hAnsi="Times New Roman" w:cs="Times New Roman"/>
          <w:kern w:val="0"/>
          <w14:ligatures w14:val="none"/>
        </w:rPr>
        <w:t>confirms</w:t>
      </w:r>
      <w:r w:rsidRPr="001546EA">
        <w:rPr>
          <w:rFonts w:ascii="Times New Roman" w:eastAsia="Times New Roman" w:hAnsi="Times New Roman" w:cs="Times New Roman"/>
          <w:kern w:val="0"/>
          <w14:ligatures w14:val="none"/>
        </w:rPr>
        <w:t xml:space="preserve"> what </w:t>
      </w:r>
      <w:r w:rsidRPr="001546EA">
        <w:rPr>
          <w:rFonts w:ascii="Times New Roman" w:eastAsia="Times New Roman" w:hAnsi="Times New Roman" w:cs="Times New Roman"/>
          <w:i/>
          <w:iCs/>
          <w:kern w:val="0"/>
          <w14:ligatures w14:val="none"/>
        </w:rPr>
        <w:t>Burrow-Giles</w:t>
      </w:r>
      <w:r w:rsidRPr="001546EA">
        <w:rPr>
          <w:rFonts w:ascii="Times New Roman" w:eastAsia="Times New Roman" w:hAnsi="Times New Roman" w:cs="Times New Roman"/>
          <w:kern w:val="0"/>
          <w14:ligatures w14:val="none"/>
        </w:rPr>
        <w:t xml:space="preserve"> had long implied: the human element is not optional but essential.</w:t>
      </w:r>
      <w:r w:rsidR="00EC0A6E">
        <w:rPr>
          <w:rStyle w:val="FootnoteReference"/>
          <w:rFonts w:ascii="Times New Roman" w:eastAsia="Times New Roman" w:hAnsi="Times New Roman" w:cs="Times New Roman"/>
          <w:kern w:val="0"/>
          <w14:ligatures w14:val="none"/>
        </w:rPr>
        <w:footnoteReference w:id="27"/>
      </w:r>
    </w:p>
    <w:p w14:paraId="2FCD746B" w14:textId="257416A3" w:rsidR="00034DDB" w:rsidRPr="00034DDB" w:rsidRDefault="00034DDB" w:rsidP="00034DDB">
      <w:pPr>
        <w:spacing w:before="100" w:beforeAutospacing="1" w:after="100" w:afterAutospacing="1" w:line="240" w:lineRule="auto"/>
        <w:rPr>
          <w:rFonts w:ascii="Times New Roman" w:eastAsia="Times New Roman" w:hAnsi="Times New Roman" w:cs="Times New Roman"/>
          <w:kern w:val="0"/>
          <w14:ligatures w14:val="none"/>
        </w:rPr>
      </w:pPr>
      <w:r w:rsidRPr="00034DDB">
        <w:rPr>
          <w:rFonts w:ascii="Times New Roman" w:eastAsia="Times New Roman" w:hAnsi="Times New Roman" w:cs="Times New Roman"/>
          <w:kern w:val="0"/>
          <w14:ligatures w14:val="none"/>
        </w:rPr>
        <w:t xml:space="preserve">A related boundary appears in the “monkey selfie” case, </w:t>
      </w:r>
      <w:r w:rsidRPr="00034DDB">
        <w:rPr>
          <w:rFonts w:ascii="Times New Roman" w:eastAsia="Times New Roman" w:hAnsi="Times New Roman" w:cs="Times New Roman"/>
          <w:i/>
          <w:iCs/>
          <w:kern w:val="0"/>
          <w14:ligatures w14:val="none"/>
        </w:rPr>
        <w:t>Naruto v. Slater</w:t>
      </w:r>
      <w:r w:rsidRPr="00034DDB">
        <w:rPr>
          <w:rFonts w:ascii="Times New Roman" w:eastAsia="Times New Roman" w:hAnsi="Times New Roman" w:cs="Times New Roman"/>
          <w:kern w:val="0"/>
          <w14:ligatures w14:val="none"/>
        </w:rPr>
        <w:t>, where the Ninth Circuit held that animals lack statutory standing to sue under the Copyright Act.</w:t>
      </w:r>
      <w:r w:rsidR="007D0401">
        <w:rPr>
          <w:rStyle w:val="FootnoteReference"/>
          <w:rFonts w:ascii="Times New Roman" w:eastAsia="Times New Roman" w:hAnsi="Times New Roman" w:cs="Times New Roman"/>
          <w:kern w:val="0"/>
          <w14:ligatures w14:val="none"/>
        </w:rPr>
        <w:footnoteReference w:id="28"/>
      </w:r>
      <w:r w:rsidRPr="00034DDB">
        <w:rPr>
          <w:rFonts w:ascii="Times New Roman" w:eastAsia="Times New Roman" w:hAnsi="Times New Roman" w:cs="Times New Roman"/>
          <w:kern w:val="0"/>
          <w14:ligatures w14:val="none"/>
        </w:rPr>
        <w:t xml:space="preserve"> While the facts are colorful, the doctrinal lesson is simple: U.S. copyright presupposes a </w:t>
      </w:r>
      <w:r w:rsidR="00187282">
        <w:rPr>
          <w:rFonts w:ascii="Times New Roman" w:eastAsia="Times New Roman" w:hAnsi="Times New Roman" w:cs="Times New Roman"/>
          <w:kern w:val="0"/>
          <w14:ligatures w14:val="none"/>
        </w:rPr>
        <w:t xml:space="preserve">natural </w:t>
      </w:r>
      <w:r w:rsidRPr="00034DDB">
        <w:rPr>
          <w:rFonts w:ascii="Times New Roman" w:eastAsia="Times New Roman" w:hAnsi="Times New Roman" w:cs="Times New Roman"/>
          <w:kern w:val="0"/>
          <w14:ligatures w14:val="none"/>
        </w:rPr>
        <w:t>person behind the work.</w:t>
      </w:r>
    </w:p>
    <w:p w14:paraId="660AAA6C" w14:textId="407C7AAA" w:rsidR="00BF382A" w:rsidRPr="00034DDB" w:rsidRDefault="00D75233" w:rsidP="00A77A49">
      <w:pPr>
        <w:spacing w:before="100" w:beforeAutospacing="1" w:after="100" w:afterAutospacing="1" w:line="240" w:lineRule="auto"/>
        <w:rPr>
          <w:rFonts w:ascii="Times New Roman" w:eastAsia="Times New Roman" w:hAnsi="Times New Roman" w:cs="Times New Roman"/>
          <w:kern w:val="0"/>
          <w14:ligatures w14:val="none"/>
        </w:rPr>
      </w:pPr>
      <w:r w:rsidRPr="00B7279D">
        <w:rPr>
          <w:rFonts w:ascii="Times New Roman" w:eastAsia="Times New Roman" w:hAnsi="Times New Roman" w:cs="Times New Roman"/>
        </w:rPr>
        <w:t xml:space="preserve">The </w:t>
      </w:r>
      <w:r>
        <w:rPr>
          <w:rFonts w:ascii="Times New Roman" w:eastAsia="Times New Roman" w:hAnsi="Times New Roman" w:cs="Times New Roman"/>
        </w:rPr>
        <w:t>Office</w:t>
      </w:r>
      <w:r w:rsidRPr="00B7279D">
        <w:rPr>
          <w:rFonts w:ascii="Times New Roman" w:eastAsia="Times New Roman" w:hAnsi="Times New Roman" w:cs="Times New Roman"/>
        </w:rPr>
        <w:t xml:space="preserve">’s first major statement came in March 2023 with its </w:t>
      </w:r>
      <w:r w:rsidR="004B3FF8" w:rsidRPr="00F1434F">
        <w:rPr>
          <w:rFonts w:ascii="Times New Roman" w:eastAsia="Times New Roman" w:hAnsi="Times New Roman" w:cs="Times New Roman"/>
          <w:i/>
          <w:iCs/>
        </w:rPr>
        <w:t xml:space="preserve">Copyright </w:t>
      </w:r>
      <w:r w:rsidR="00F1434F" w:rsidRPr="00F1434F">
        <w:rPr>
          <w:rFonts w:ascii="Times New Roman" w:eastAsia="Times New Roman" w:hAnsi="Times New Roman" w:cs="Times New Roman"/>
          <w:bCs/>
          <w:i/>
          <w:iCs/>
        </w:rPr>
        <w:t xml:space="preserve">Registration </w:t>
      </w:r>
      <w:r w:rsidR="004B3FF8" w:rsidRPr="00F1434F">
        <w:rPr>
          <w:rFonts w:ascii="Times New Roman" w:eastAsia="Times New Roman" w:hAnsi="Times New Roman" w:cs="Times New Roman"/>
          <w:bCs/>
          <w:i/>
          <w:iCs/>
        </w:rPr>
        <w:t>Guidance</w:t>
      </w:r>
      <w:r w:rsidRPr="00B7279D">
        <w:rPr>
          <w:rFonts w:ascii="Times New Roman" w:eastAsia="Times New Roman" w:hAnsi="Times New Roman" w:cs="Times New Roman"/>
          <w:bCs/>
        </w:rPr>
        <w:t>.</w:t>
      </w:r>
      <w:r w:rsidRPr="00D43227">
        <w:rPr>
          <w:rStyle w:val="FootnoteReference"/>
          <w:rFonts w:ascii="Times New Roman" w:eastAsia="Times New Roman" w:hAnsi="Times New Roman" w:cs="Times New Roman"/>
          <w:bCs/>
        </w:rPr>
        <w:footnoteReference w:id="29"/>
      </w:r>
      <w:r w:rsidRPr="00B7279D">
        <w:rPr>
          <w:rFonts w:ascii="Times New Roman" w:eastAsia="Times New Roman" w:hAnsi="Times New Roman" w:cs="Times New Roman"/>
        </w:rPr>
        <w:t xml:space="preserve"> Issued after the </w:t>
      </w:r>
      <w:r w:rsidRPr="00B7279D">
        <w:rPr>
          <w:rFonts w:ascii="Times New Roman" w:eastAsia="Times New Roman" w:hAnsi="Times New Roman" w:cs="Times New Roman"/>
          <w:i/>
          <w:iCs/>
        </w:rPr>
        <w:t>Thaler</w:t>
      </w:r>
      <w:r w:rsidRPr="00B7279D">
        <w:rPr>
          <w:rFonts w:ascii="Times New Roman" w:eastAsia="Times New Roman" w:hAnsi="Times New Roman" w:cs="Times New Roman"/>
        </w:rPr>
        <w:t xml:space="preserve"> litigation, the </w:t>
      </w:r>
      <w:r w:rsidR="00F1434F">
        <w:rPr>
          <w:rFonts w:ascii="Times New Roman" w:eastAsia="Times New Roman" w:hAnsi="Times New Roman" w:cs="Times New Roman"/>
        </w:rPr>
        <w:t>document</w:t>
      </w:r>
      <w:r w:rsidRPr="00B7279D">
        <w:rPr>
          <w:rFonts w:ascii="Times New Roman" w:eastAsia="Times New Roman" w:hAnsi="Times New Roman" w:cs="Times New Roman"/>
        </w:rPr>
        <w:t xml:space="preserve"> confirmed that copyright subsists only in the human-authored portions of a work. Applicants must disclose any AI-generated material and may claim protection only for their own creative contributions—such as the selection, coordination, or modification of AI outputs.</w:t>
      </w:r>
      <w:r>
        <w:rPr>
          <w:rStyle w:val="FootnoteReference"/>
          <w:rFonts w:ascii="Times New Roman" w:eastAsia="Times New Roman" w:hAnsi="Times New Roman" w:cs="Times New Roman"/>
        </w:rPr>
        <w:footnoteReference w:id="30"/>
      </w:r>
      <w:r w:rsidRPr="00B7279D">
        <w:rPr>
          <w:rFonts w:ascii="Times New Roman" w:eastAsia="Times New Roman" w:hAnsi="Times New Roman" w:cs="Times New Roman"/>
        </w:rPr>
        <w:t xml:space="preserve"> </w:t>
      </w:r>
      <w:r w:rsidR="00792F84">
        <w:rPr>
          <w:rFonts w:ascii="Times New Roman" w:eastAsia="Times New Roman" w:hAnsi="Times New Roman" w:cs="Times New Roman"/>
        </w:rPr>
        <w:t xml:space="preserve">They must disclaim any portion of the </w:t>
      </w:r>
      <w:r w:rsidR="00792F84">
        <w:rPr>
          <w:rFonts w:ascii="Times New Roman" w:eastAsia="Times New Roman" w:hAnsi="Times New Roman" w:cs="Times New Roman"/>
        </w:rPr>
        <w:lastRenderedPageBreak/>
        <w:t xml:space="preserve">work that </w:t>
      </w:r>
      <w:r w:rsidR="000F3CA9">
        <w:rPr>
          <w:rFonts w:ascii="Times New Roman" w:eastAsia="Times New Roman" w:hAnsi="Times New Roman" w:cs="Times New Roman"/>
        </w:rPr>
        <w:t>does not meet the human-authored standard.</w:t>
      </w:r>
      <w:r w:rsidR="000F3CA9">
        <w:rPr>
          <w:rStyle w:val="FootnoteReference"/>
          <w:rFonts w:ascii="Times New Roman" w:eastAsia="Times New Roman" w:hAnsi="Times New Roman" w:cs="Times New Roman"/>
        </w:rPr>
        <w:footnoteReference w:id="31"/>
      </w:r>
      <w:r w:rsidR="00792F84">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BF382A">
        <w:rPr>
          <w:rFonts w:ascii="Times New Roman" w:eastAsia="Times New Roman" w:hAnsi="Times New Roman" w:cs="Times New Roman"/>
          <w:kern w:val="0"/>
          <w14:ligatures w14:val="none"/>
        </w:rPr>
        <w:t xml:space="preserve">Office clearly </w:t>
      </w:r>
      <w:r w:rsidR="00A77A49">
        <w:rPr>
          <w:rFonts w:ascii="Times New Roman" w:eastAsia="Times New Roman" w:hAnsi="Times New Roman" w:cs="Times New Roman"/>
          <w:kern w:val="0"/>
          <w14:ligatures w14:val="none"/>
        </w:rPr>
        <w:t>state</w:t>
      </w:r>
      <w:r w:rsidR="00995AEA">
        <w:rPr>
          <w:rFonts w:ascii="Times New Roman" w:eastAsia="Times New Roman" w:hAnsi="Times New Roman" w:cs="Times New Roman"/>
          <w:kern w:val="0"/>
          <w14:ligatures w14:val="none"/>
        </w:rPr>
        <w:t>d</w:t>
      </w:r>
      <w:r w:rsidR="00BF382A">
        <w:rPr>
          <w:rFonts w:ascii="Times New Roman" w:eastAsia="Times New Roman" w:hAnsi="Times New Roman" w:cs="Times New Roman"/>
          <w:kern w:val="0"/>
          <w14:ligatures w14:val="none"/>
        </w:rPr>
        <w:t>: “</w:t>
      </w:r>
      <w:r w:rsidR="00BF382A" w:rsidRPr="00BF382A">
        <w:rPr>
          <w:rFonts w:ascii="Times New Roman" w:eastAsia="Times New Roman" w:hAnsi="Times New Roman" w:cs="Times New Roman"/>
          <w:kern w:val="0"/>
          <w14:ligatures w14:val="none"/>
        </w:rPr>
        <w:t>it is well-established that copyright can protect only material that is</w:t>
      </w:r>
      <w:r w:rsidR="00BF382A">
        <w:rPr>
          <w:rFonts w:ascii="Times New Roman" w:eastAsia="Times New Roman" w:hAnsi="Times New Roman" w:cs="Times New Roman"/>
          <w:kern w:val="0"/>
          <w14:ligatures w14:val="none"/>
        </w:rPr>
        <w:t xml:space="preserve"> </w:t>
      </w:r>
      <w:r w:rsidR="00BF382A" w:rsidRPr="00BF382A">
        <w:rPr>
          <w:rFonts w:ascii="Times New Roman" w:eastAsia="Times New Roman" w:hAnsi="Times New Roman" w:cs="Times New Roman"/>
          <w:kern w:val="0"/>
          <w14:ligatures w14:val="none"/>
        </w:rPr>
        <w:t xml:space="preserve">the product of human creativity. Most fundamentally, the term </w:t>
      </w:r>
      <w:r w:rsidR="00F1434F">
        <w:rPr>
          <w:rFonts w:ascii="Times New Roman" w:eastAsia="Times New Roman" w:hAnsi="Times New Roman" w:cs="Times New Roman"/>
          <w:kern w:val="0"/>
          <w14:ligatures w14:val="none"/>
        </w:rPr>
        <w:t>‘</w:t>
      </w:r>
      <w:r w:rsidR="00BF382A" w:rsidRPr="00BF382A">
        <w:rPr>
          <w:rFonts w:ascii="Times New Roman" w:eastAsia="Times New Roman" w:hAnsi="Times New Roman" w:cs="Times New Roman"/>
          <w:kern w:val="0"/>
          <w14:ligatures w14:val="none"/>
        </w:rPr>
        <w:t>author,</w:t>
      </w:r>
      <w:r w:rsidR="00F1434F">
        <w:rPr>
          <w:rFonts w:ascii="Times New Roman" w:eastAsia="Times New Roman" w:hAnsi="Times New Roman" w:cs="Times New Roman"/>
          <w:kern w:val="0"/>
          <w14:ligatures w14:val="none"/>
        </w:rPr>
        <w:t>’</w:t>
      </w:r>
      <w:r w:rsidR="00BF382A" w:rsidRPr="00BF382A">
        <w:rPr>
          <w:rFonts w:ascii="Times New Roman" w:eastAsia="Times New Roman" w:hAnsi="Times New Roman" w:cs="Times New Roman"/>
          <w:kern w:val="0"/>
          <w14:ligatures w14:val="none"/>
        </w:rPr>
        <w:t xml:space="preserve"> which is used</w:t>
      </w:r>
      <w:r w:rsidR="00BF382A">
        <w:rPr>
          <w:rFonts w:ascii="Times New Roman" w:eastAsia="Times New Roman" w:hAnsi="Times New Roman" w:cs="Times New Roman"/>
          <w:kern w:val="0"/>
          <w14:ligatures w14:val="none"/>
        </w:rPr>
        <w:t xml:space="preserve"> </w:t>
      </w:r>
      <w:r w:rsidR="00BF382A" w:rsidRPr="00BF382A">
        <w:rPr>
          <w:rFonts w:ascii="Times New Roman" w:eastAsia="Times New Roman" w:hAnsi="Times New Roman" w:cs="Times New Roman"/>
          <w:kern w:val="0"/>
          <w14:ligatures w14:val="none"/>
        </w:rPr>
        <w:t>in both the Constitution and the Copyright Act, excludes non-humans.</w:t>
      </w:r>
      <w:r w:rsidR="00BF382A">
        <w:rPr>
          <w:rFonts w:ascii="Times New Roman" w:eastAsia="Times New Roman" w:hAnsi="Times New Roman" w:cs="Times New Roman"/>
          <w:kern w:val="0"/>
          <w14:ligatures w14:val="none"/>
        </w:rPr>
        <w:t>”</w:t>
      </w:r>
      <w:r w:rsidR="00BF382A">
        <w:rPr>
          <w:rStyle w:val="FootnoteReference"/>
          <w:rFonts w:ascii="Times New Roman" w:eastAsia="Times New Roman" w:hAnsi="Times New Roman" w:cs="Times New Roman"/>
          <w:kern w:val="0"/>
          <w14:ligatures w14:val="none"/>
        </w:rPr>
        <w:footnoteReference w:id="32"/>
      </w:r>
      <w:r w:rsidR="00A77A49">
        <w:rPr>
          <w:rFonts w:ascii="Times New Roman" w:eastAsia="Times New Roman" w:hAnsi="Times New Roman" w:cs="Times New Roman"/>
          <w:kern w:val="0"/>
          <w14:ligatures w14:val="none"/>
        </w:rPr>
        <w:t xml:space="preserve"> It further clarifie</w:t>
      </w:r>
      <w:r w:rsidR="00995AEA">
        <w:rPr>
          <w:rFonts w:ascii="Times New Roman" w:eastAsia="Times New Roman" w:hAnsi="Times New Roman" w:cs="Times New Roman"/>
          <w:kern w:val="0"/>
          <w14:ligatures w14:val="none"/>
        </w:rPr>
        <w:t>d</w:t>
      </w:r>
      <w:r w:rsidR="00A77A49">
        <w:rPr>
          <w:rFonts w:ascii="Times New Roman" w:eastAsia="Times New Roman" w:hAnsi="Times New Roman" w:cs="Times New Roman"/>
          <w:kern w:val="0"/>
          <w14:ligatures w14:val="none"/>
        </w:rPr>
        <w:t xml:space="preserve"> that “[T]he </w:t>
      </w:r>
      <w:proofErr w:type="gramStart"/>
      <w:r w:rsidR="00A77A49">
        <w:rPr>
          <w:rFonts w:ascii="Times New Roman" w:eastAsia="Times New Roman" w:hAnsi="Times New Roman" w:cs="Times New Roman"/>
          <w:kern w:val="0"/>
          <w14:ligatures w14:val="none"/>
        </w:rPr>
        <w:t>term</w:t>
      </w:r>
      <w:proofErr w:type="gramEnd"/>
      <w:r w:rsidR="00E4600F">
        <w:rPr>
          <w:rFonts w:ascii="Times New Roman" w:eastAsia="Times New Roman" w:hAnsi="Times New Roman" w:cs="Times New Roman"/>
          <w:kern w:val="0"/>
          <w14:ligatures w14:val="none"/>
        </w:rPr>
        <w:t xml:space="preserve"> </w:t>
      </w:r>
      <w:r w:rsidR="00A77A49">
        <w:rPr>
          <w:rFonts w:ascii="Times New Roman" w:eastAsia="Times New Roman" w:hAnsi="Times New Roman" w:cs="Times New Roman"/>
          <w:kern w:val="0"/>
          <w14:ligatures w14:val="none"/>
        </w:rPr>
        <w:t xml:space="preserve">’expressive material’ is </w:t>
      </w:r>
      <w:r w:rsidR="00A77A49" w:rsidRPr="00A77A49">
        <w:rPr>
          <w:rFonts w:ascii="Times New Roman" w:eastAsia="Times New Roman" w:hAnsi="Times New Roman" w:cs="Times New Roman"/>
          <w:kern w:val="0"/>
          <w14:ligatures w14:val="none"/>
        </w:rPr>
        <w:t>used here to refer to AI output that, if it had been created</w:t>
      </w:r>
      <w:r w:rsidR="00A77A49">
        <w:rPr>
          <w:rFonts w:ascii="Times New Roman" w:eastAsia="Times New Roman" w:hAnsi="Times New Roman" w:cs="Times New Roman"/>
          <w:kern w:val="0"/>
          <w14:ligatures w14:val="none"/>
        </w:rPr>
        <w:t xml:space="preserve"> b</w:t>
      </w:r>
      <w:r w:rsidR="00A77A49" w:rsidRPr="00A77A49">
        <w:rPr>
          <w:rFonts w:ascii="Times New Roman" w:eastAsia="Times New Roman" w:hAnsi="Times New Roman" w:cs="Times New Roman"/>
          <w:kern w:val="0"/>
          <w14:ligatures w14:val="none"/>
        </w:rPr>
        <w:t>y a human, would fall within the subject matter of copyright as defined in section 102 of</w:t>
      </w:r>
      <w:r w:rsidR="00A77A49">
        <w:rPr>
          <w:rFonts w:ascii="Times New Roman" w:eastAsia="Times New Roman" w:hAnsi="Times New Roman" w:cs="Times New Roman"/>
          <w:kern w:val="0"/>
          <w14:ligatures w14:val="none"/>
        </w:rPr>
        <w:t xml:space="preserve"> </w:t>
      </w:r>
      <w:r w:rsidR="00A77A49" w:rsidRPr="00A77A49">
        <w:rPr>
          <w:rFonts w:ascii="Times New Roman" w:eastAsia="Times New Roman" w:hAnsi="Times New Roman" w:cs="Times New Roman"/>
          <w:kern w:val="0"/>
          <w14:ligatures w14:val="none"/>
        </w:rPr>
        <w:t xml:space="preserve">the </w:t>
      </w:r>
      <w:r w:rsidR="00A77A49">
        <w:rPr>
          <w:rFonts w:ascii="Times New Roman" w:eastAsia="Times New Roman" w:hAnsi="Times New Roman" w:cs="Times New Roman"/>
          <w:kern w:val="0"/>
          <w14:ligatures w14:val="none"/>
        </w:rPr>
        <w:t xml:space="preserve">[Copyright] </w:t>
      </w:r>
      <w:r w:rsidR="00A77A49" w:rsidRPr="00A77A49">
        <w:rPr>
          <w:rFonts w:ascii="Times New Roman" w:eastAsia="Times New Roman" w:hAnsi="Times New Roman" w:cs="Times New Roman"/>
          <w:kern w:val="0"/>
          <w14:ligatures w14:val="none"/>
        </w:rPr>
        <w:t>Act</w:t>
      </w:r>
      <w:r w:rsidR="00A77A49">
        <w:rPr>
          <w:rFonts w:ascii="Times New Roman" w:eastAsia="Times New Roman" w:hAnsi="Times New Roman" w:cs="Times New Roman"/>
          <w:kern w:val="0"/>
          <w14:ligatures w14:val="none"/>
        </w:rPr>
        <w:t>.”</w:t>
      </w:r>
      <w:r w:rsidR="00A77A49">
        <w:rPr>
          <w:rStyle w:val="FootnoteReference"/>
          <w:rFonts w:ascii="Times New Roman" w:eastAsia="Times New Roman" w:hAnsi="Times New Roman" w:cs="Times New Roman"/>
          <w:kern w:val="0"/>
          <w14:ligatures w14:val="none"/>
        </w:rPr>
        <w:footnoteReference w:id="33"/>
      </w:r>
    </w:p>
    <w:p w14:paraId="64EDE9BB" w14:textId="1AE6E164" w:rsidR="005128C6" w:rsidRDefault="00515FB2" w:rsidP="002259AD">
      <w:pPr>
        <w:spacing w:after="0" w:line="240" w:lineRule="auto"/>
        <w:rPr>
          <w:rFonts w:ascii="Times New Roman" w:hAnsi="Times New Roman" w:cs="Times New Roman"/>
        </w:rPr>
      </w:pPr>
      <w:r>
        <w:rPr>
          <w:rFonts w:ascii="Times New Roman" w:eastAsia="Times New Roman" w:hAnsi="Times New Roman" w:cs="Times New Roman"/>
          <w:kern w:val="0"/>
          <w14:ligatures w14:val="none"/>
        </w:rPr>
        <w:t>A</w:t>
      </w:r>
      <w:r w:rsidR="005128C6" w:rsidRPr="00515FB2">
        <w:rPr>
          <w:rFonts w:ascii="Times New Roman" w:eastAsia="Times New Roman" w:hAnsi="Times New Roman" w:cs="Times New Roman"/>
          <w:kern w:val="0"/>
          <w14:ligatures w14:val="none"/>
        </w:rPr>
        <w:t xml:space="preserve">s AI tools become more </w:t>
      </w:r>
      <w:r>
        <w:rPr>
          <w:rFonts w:ascii="Times New Roman" w:eastAsia="Times New Roman" w:hAnsi="Times New Roman" w:cs="Times New Roman"/>
          <w:kern w:val="0"/>
          <w14:ligatures w14:val="none"/>
        </w:rPr>
        <w:t>sophisticated, separating the human contr</w:t>
      </w:r>
      <w:r w:rsidR="005128C6" w:rsidRPr="00515FB2">
        <w:rPr>
          <w:rFonts w:ascii="Times New Roman" w:eastAsia="Times New Roman" w:hAnsi="Times New Roman" w:cs="Times New Roman"/>
          <w:kern w:val="0"/>
          <w14:ligatures w14:val="none"/>
        </w:rPr>
        <w:t xml:space="preserve">ibution </w:t>
      </w:r>
      <w:r w:rsidR="00756A4E">
        <w:rPr>
          <w:rFonts w:ascii="Times New Roman" w:eastAsia="Times New Roman" w:hAnsi="Times New Roman" w:cs="Times New Roman"/>
          <w:kern w:val="0"/>
          <w14:ligatures w14:val="none"/>
        </w:rPr>
        <w:t xml:space="preserve">from the machine contribution </w:t>
      </w:r>
      <w:r w:rsidR="005128C6" w:rsidRPr="00515FB2">
        <w:rPr>
          <w:rFonts w:ascii="Times New Roman" w:eastAsia="Times New Roman" w:hAnsi="Times New Roman" w:cs="Times New Roman"/>
          <w:kern w:val="0"/>
          <w14:ligatures w14:val="none"/>
        </w:rPr>
        <w:t xml:space="preserve">grows harder. Many contemporary works reflect collaboration between user input and machine generation. </w:t>
      </w:r>
      <w:r w:rsidR="005C2B35">
        <w:rPr>
          <w:rFonts w:ascii="Times New Roman" w:eastAsia="Times New Roman" w:hAnsi="Times New Roman" w:cs="Times New Roman"/>
          <w:kern w:val="0"/>
          <w14:ligatures w14:val="none"/>
        </w:rPr>
        <w:t xml:space="preserve">Applicants for copyright will have to comply with the </w:t>
      </w:r>
      <w:r w:rsidR="005128C6" w:rsidRPr="00515FB2">
        <w:rPr>
          <w:rFonts w:ascii="Times New Roman" w:eastAsia="Times New Roman" w:hAnsi="Times New Roman" w:cs="Times New Roman"/>
          <w:kern w:val="0"/>
          <w14:ligatures w14:val="none"/>
        </w:rPr>
        <w:t>Office</w:t>
      </w:r>
      <w:r w:rsidR="005C2B35">
        <w:rPr>
          <w:rFonts w:ascii="Times New Roman" w:eastAsia="Times New Roman" w:hAnsi="Times New Roman" w:cs="Times New Roman"/>
          <w:kern w:val="0"/>
          <w14:ligatures w14:val="none"/>
        </w:rPr>
        <w:t xml:space="preserve">’s </w:t>
      </w:r>
      <w:r w:rsidR="005128C6" w:rsidRPr="00515FB2">
        <w:rPr>
          <w:rFonts w:ascii="Times New Roman" w:eastAsia="Times New Roman" w:hAnsi="Times New Roman" w:cs="Times New Roman"/>
          <w:kern w:val="0"/>
          <w14:ligatures w14:val="none"/>
        </w:rPr>
        <w:t>disclosure-and-disclaimer approach that protects human contributions while denying protection to purely machine-generated portions</w:t>
      </w:r>
      <w:r w:rsidR="005C2B35" w:rsidRPr="00B7279D">
        <w:rPr>
          <w:rFonts w:ascii="Times New Roman" w:eastAsia="Times New Roman" w:hAnsi="Times New Roman" w:cs="Times New Roman"/>
        </w:rPr>
        <w:t>—</w:t>
      </w:r>
      <w:r w:rsidR="005128C6" w:rsidRPr="00515FB2">
        <w:rPr>
          <w:rFonts w:ascii="Times New Roman" w:eastAsia="Times New Roman" w:hAnsi="Times New Roman" w:cs="Times New Roman"/>
          <w:kern w:val="0"/>
          <w14:ligatures w14:val="none"/>
        </w:rPr>
        <w:t>reinforcing that technology may be a tool, but not the author.</w:t>
      </w:r>
      <w:r w:rsidR="005128C6" w:rsidRPr="00515FB2">
        <w:rPr>
          <w:rStyle w:val="FootnoteReference"/>
          <w:rFonts w:ascii="Times New Roman" w:eastAsia="Times New Roman" w:hAnsi="Times New Roman" w:cs="Times New Roman"/>
          <w:kern w:val="0"/>
          <w14:ligatures w14:val="none"/>
        </w:rPr>
        <w:footnoteReference w:id="34"/>
      </w:r>
      <w:r w:rsidR="002259AD" w:rsidRPr="00515FB2">
        <w:rPr>
          <w:rFonts w:ascii="Times New Roman" w:eastAsia="Times New Roman" w:hAnsi="Times New Roman" w:cs="Times New Roman"/>
          <w:kern w:val="0"/>
          <w14:ligatures w14:val="none"/>
        </w:rPr>
        <w:t xml:space="preserve"> </w:t>
      </w:r>
    </w:p>
    <w:p w14:paraId="22D9BA4B" w14:textId="15CC9E60" w:rsidR="00834889" w:rsidRDefault="00834889" w:rsidP="002259AD">
      <w:pPr>
        <w:spacing w:after="0" w:line="240" w:lineRule="auto"/>
        <w:rPr>
          <w:rFonts w:ascii="Times New Roman" w:hAnsi="Times New Roman" w:cs="Times New Roman"/>
        </w:rPr>
      </w:pPr>
    </w:p>
    <w:p w14:paraId="65E47528" w14:textId="2120C750" w:rsidR="00834889" w:rsidRPr="00515FB2" w:rsidRDefault="00834889" w:rsidP="006D213A">
      <w:pPr>
        <w:spacing w:after="0" w:line="240" w:lineRule="auto"/>
        <w:rPr>
          <w:rFonts w:ascii="Times New Roman" w:hAnsi="Times New Roman" w:cs="Times New Roman"/>
        </w:rPr>
      </w:pPr>
      <w:r>
        <w:rPr>
          <w:rFonts w:ascii="Times New Roman" w:hAnsi="Times New Roman" w:cs="Times New Roman"/>
        </w:rPr>
        <w:t xml:space="preserve">Concurrent with and subsequent to the </w:t>
      </w:r>
      <w:r w:rsidRPr="00F1434F">
        <w:rPr>
          <w:rFonts w:ascii="Times New Roman" w:hAnsi="Times New Roman" w:cs="Times New Roman"/>
          <w:i/>
          <w:iCs/>
        </w:rPr>
        <w:t>Copyright Registration Guidance</w:t>
      </w:r>
      <w:r>
        <w:rPr>
          <w:rFonts w:ascii="Times New Roman" w:hAnsi="Times New Roman" w:cs="Times New Roman"/>
        </w:rPr>
        <w:t xml:space="preserve">, the </w:t>
      </w:r>
      <w:r w:rsidR="004F56FF">
        <w:rPr>
          <w:rFonts w:ascii="Times New Roman" w:hAnsi="Times New Roman" w:cs="Times New Roman"/>
        </w:rPr>
        <w:t>Office and the Copyright Review Board</w:t>
      </w:r>
      <w:r>
        <w:rPr>
          <w:rFonts w:ascii="Times New Roman" w:hAnsi="Times New Roman" w:cs="Times New Roman"/>
        </w:rPr>
        <w:t xml:space="preserve"> (“Board”) modified or rejected several claims for copyright registration. In February 2023, the </w:t>
      </w:r>
      <w:r w:rsidR="004F56FF">
        <w:rPr>
          <w:rFonts w:ascii="Times New Roman" w:hAnsi="Times New Roman" w:cs="Times New Roman"/>
        </w:rPr>
        <w:t>Office</w:t>
      </w:r>
      <w:r>
        <w:rPr>
          <w:rFonts w:ascii="Times New Roman" w:hAnsi="Times New Roman" w:cs="Times New Roman"/>
        </w:rPr>
        <w:t xml:space="preserve"> </w:t>
      </w:r>
      <w:r w:rsidR="006D213A">
        <w:rPr>
          <w:rFonts w:ascii="Times New Roman" w:hAnsi="Times New Roman" w:cs="Times New Roman"/>
        </w:rPr>
        <w:t>carefully limited the scope of a copyright application for a graphic nove</w:t>
      </w:r>
      <w:r w:rsidR="000F3CA9">
        <w:rPr>
          <w:rFonts w:ascii="Times New Roman" w:hAnsi="Times New Roman" w:cs="Times New Roman"/>
        </w:rPr>
        <w:t>l, g</w:t>
      </w:r>
      <w:r w:rsidR="006D213A">
        <w:rPr>
          <w:rFonts w:ascii="Times New Roman" w:hAnsi="Times New Roman" w:cs="Times New Roman"/>
        </w:rPr>
        <w:t>rant</w:t>
      </w:r>
      <w:r w:rsidR="000F3CA9">
        <w:rPr>
          <w:rFonts w:ascii="Times New Roman" w:hAnsi="Times New Roman" w:cs="Times New Roman"/>
        </w:rPr>
        <w:t>ing</w:t>
      </w:r>
      <w:r w:rsidR="006D213A">
        <w:rPr>
          <w:rFonts w:ascii="Times New Roman" w:hAnsi="Times New Roman" w:cs="Times New Roman"/>
        </w:rPr>
        <w:t xml:space="preserve"> copyright to the author for the text of the work as well as the selection, coordination, arrangement of the written and visual elements, but den</w:t>
      </w:r>
      <w:r w:rsidR="000F3CA9">
        <w:rPr>
          <w:rFonts w:ascii="Times New Roman" w:hAnsi="Times New Roman" w:cs="Times New Roman"/>
        </w:rPr>
        <w:t>ying</w:t>
      </w:r>
      <w:r w:rsidR="006D213A">
        <w:rPr>
          <w:rFonts w:ascii="Times New Roman" w:hAnsi="Times New Roman" w:cs="Times New Roman"/>
        </w:rPr>
        <w:t xml:space="preserve"> protection for the images that were generated by Midjourney technology because they were not the product of human authorship.”</w:t>
      </w:r>
      <w:r w:rsidR="006D213A">
        <w:rPr>
          <w:rStyle w:val="FootnoteReference"/>
          <w:rFonts w:ascii="Times New Roman" w:hAnsi="Times New Roman" w:cs="Times New Roman"/>
        </w:rPr>
        <w:footnoteReference w:id="35"/>
      </w:r>
      <w:r w:rsidR="006D213A">
        <w:rPr>
          <w:rFonts w:ascii="Times New Roman" w:hAnsi="Times New Roman" w:cs="Times New Roman"/>
        </w:rPr>
        <w:t xml:space="preserve"> </w:t>
      </w:r>
      <w:r w:rsidR="000F3CA9">
        <w:rPr>
          <w:rFonts w:ascii="Times New Roman" w:hAnsi="Times New Roman" w:cs="Times New Roman"/>
        </w:rPr>
        <w:t xml:space="preserve">The Office stated that </w:t>
      </w:r>
      <w:r w:rsidR="006D213A">
        <w:rPr>
          <w:rFonts w:ascii="Times New Roman" w:hAnsi="Times New Roman" w:cs="Times New Roman"/>
        </w:rPr>
        <w:t>“</w:t>
      </w:r>
      <w:r w:rsidR="000F3CA9">
        <w:rPr>
          <w:rFonts w:ascii="Times New Roman" w:hAnsi="Times New Roman" w:cs="Times New Roman"/>
        </w:rPr>
        <w:t>[b]</w:t>
      </w:r>
      <w:r w:rsidR="006D213A">
        <w:rPr>
          <w:rFonts w:ascii="Times New Roman" w:hAnsi="Times New Roman" w:cs="Times New Roman"/>
        </w:rPr>
        <w:t xml:space="preserve">ecause </w:t>
      </w:r>
      <w:r w:rsidR="006D213A" w:rsidRPr="006D213A">
        <w:rPr>
          <w:rFonts w:ascii="Times New Roman" w:hAnsi="Times New Roman" w:cs="Times New Roman"/>
        </w:rPr>
        <w:t>the current</w:t>
      </w:r>
      <w:r w:rsidR="006D213A">
        <w:rPr>
          <w:rFonts w:ascii="Times New Roman" w:hAnsi="Times New Roman" w:cs="Times New Roman"/>
        </w:rPr>
        <w:t xml:space="preserve"> </w:t>
      </w:r>
      <w:r w:rsidR="006D213A" w:rsidRPr="006D213A">
        <w:rPr>
          <w:rFonts w:ascii="Times New Roman" w:hAnsi="Times New Roman" w:cs="Times New Roman"/>
        </w:rPr>
        <w:t>registration for the Work does not disclaim its Midjourney-generated content, we intend to</w:t>
      </w:r>
      <w:r w:rsidR="006D213A">
        <w:rPr>
          <w:rFonts w:ascii="Times New Roman" w:hAnsi="Times New Roman" w:cs="Times New Roman"/>
        </w:rPr>
        <w:t xml:space="preserve"> </w:t>
      </w:r>
      <w:r w:rsidR="006D213A" w:rsidRPr="006D213A">
        <w:rPr>
          <w:rFonts w:ascii="Times New Roman" w:hAnsi="Times New Roman" w:cs="Times New Roman"/>
        </w:rPr>
        <w:t xml:space="preserve">cancel the original certificate issued to </w:t>
      </w:r>
      <w:r w:rsidR="004F56FF">
        <w:rPr>
          <w:rFonts w:ascii="Times New Roman" w:hAnsi="Times New Roman" w:cs="Times New Roman"/>
        </w:rPr>
        <w:t>[the author]</w:t>
      </w:r>
      <w:r w:rsidR="006D213A" w:rsidRPr="006D213A">
        <w:rPr>
          <w:rFonts w:ascii="Times New Roman" w:hAnsi="Times New Roman" w:cs="Times New Roman"/>
        </w:rPr>
        <w:t xml:space="preserve"> and issue a new one covering only the</w:t>
      </w:r>
      <w:r w:rsidR="006D213A">
        <w:rPr>
          <w:rFonts w:ascii="Times New Roman" w:hAnsi="Times New Roman" w:cs="Times New Roman"/>
        </w:rPr>
        <w:t xml:space="preserve"> </w:t>
      </w:r>
      <w:r w:rsidR="006D213A" w:rsidRPr="006D213A">
        <w:rPr>
          <w:rFonts w:ascii="Times New Roman" w:hAnsi="Times New Roman" w:cs="Times New Roman"/>
        </w:rPr>
        <w:t>expressive material that she created.</w:t>
      </w:r>
      <w:r w:rsidR="006D213A">
        <w:rPr>
          <w:rFonts w:ascii="Times New Roman" w:hAnsi="Times New Roman" w:cs="Times New Roman"/>
        </w:rPr>
        <w:t>”</w:t>
      </w:r>
      <w:r w:rsidR="006D213A">
        <w:rPr>
          <w:rStyle w:val="FootnoteReference"/>
          <w:rFonts w:ascii="Times New Roman" w:hAnsi="Times New Roman" w:cs="Times New Roman"/>
        </w:rPr>
        <w:footnoteReference w:id="36"/>
      </w:r>
    </w:p>
    <w:p w14:paraId="4D647A6D" w14:textId="52E660BD" w:rsidR="004F56FF" w:rsidRDefault="004F56FF" w:rsidP="0097234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September 2023, the Board, finding that a work contained more than a </w:t>
      </w:r>
      <w:r w:rsidRPr="00C86B17">
        <w:rPr>
          <w:rFonts w:ascii="Times New Roman" w:eastAsia="Times New Roman" w:hAnsi="Times New Roman" w:cs="Times New Roman"/>
          <w:kern w:val="0"/>
          <w14:ligatures w14:val="none"/>
        </w:rPr>
        <w:t>de minimis</w:t>
      </w:r>
      <w:r>
        <w:rPr>
          <w:rFonts w:ascii="Times New Roman" w:eastAsia="Times New Roman" w:hAnsi="Times New Roman" w:cs="Times New Roman"/>
          <w:kern w:val="0"/>
          <w14:ligatures w14:val="none"/>
        </w:rPr>
        <w:t xml:space="preserve"> amount of content generated by AI, rejected a registr</w:t>
      </w:r>
      <w:r w:rsidR="00972346">
        <w:rPr>
          <w:rFonts w:ascii="Times New Roman" w:eastAsia="Times New Roman" w:hAnsi="Times New Roman" w:cs="Times New Roman"/>
          <w:kern w:val="0"/>
          <w14:ligatures w14:val="none"/>
        </w:rPr>
        <w:t>ation for copyright</w:t>
      </w:r>
      <w:r>
        <w:rPr>
          <w:rFonts w:ascii="Times New Roman" w:eastAsia="Times New Roman" w:hAnsi="Times New Roman" w:cs="Times New Roman"/>
          <w:kern w:val="0"/>
          <w14:ligatures w14:val="none"/>
        </w:rPr>
        <w:t xml:space="preserve"> because the </w:t>
      </w:r>
      <w:r w:rsidR="00972346">
        <w:rPr>
          <w:rFonts w:ascii="Times New Roman" w:eastAsia="Times New Roman" w:hAnsi="Times New Roman" w:cs="Times New Roman"/>
          <w:kern w:val="0"/>
          <w14:ligatures w14:val="none"/>
        </w:rPr>
        <w:t>applicant</w:t>
      </w:r>
      <w:r>
        <w:rPr>
          <w:rFonts w:ascii="Times New Roman" w:eastAsia="Times New Roman" w:hAnsi="Times New Roman" w:cs="Times New Roman"/>
          <w:kern w:val="0"/>
          <w14:ligatures w14:val="none"/>
        </w:rPr>
        <w:t xml:space="preserve"> refused to disclaim the AI-generated material</w:t>
      </w:r>
      <w:r w:rsidR="00972346">
        <w:rPr>
          <w:rFonts w:ascii="Times New Roman" w:eastAsia="Times New Roman" w:hAnsi="Times New Roman" w:cs="Times New Roman"/>
          <w:kern w:val="0"/>
          <w14:ligatures w14:val="none"/>
        </w:rPr>
        <w:t>.</w:t>
      </w:r>
      <w:r w:rsidR="00972346">
        <w:rPr>
          <w:rStyle w:val="FootnoteReference"/>
          <w:rFonts w:ascii="Times New Roman" w:eastAsia="Times New Roman" w:hAnsi="Times New Roman" w:cs="Times New Roman"/>
          <w:kern w:val="0"/>
          <w14:ligatures w14:val="none"/>
        </w:rPr>
        <w:footnoteReference w:id="37"/>
      </w:r>
      <w:r w:rsidR="00972346">
        <w:rPr>
          <w:rFonts w:ascii="Times New Roman" w:eastAsia="Times New Roman" w:hAnsi="Times New Roman" w:cs="Times New Roman"/>
          <w:kern w:val="0"/>
          <w14:ligatures w14:val="none"/>
        </w:rPr>
        <w:t xml:space="preserve"> In December 2023, the Board refused to register a work whose application listed two authors, one human and one an AI painting app, stating that the work “</w:t>
      </w:r>
      <w:r w:rsidR="00972346" w:rsidRPr="00972346">
        <w:rPr>
          <w:rFonts w:ascii="Times New Roman" w:eastAsia="Times New Roman" w:hAnsi="Times New Roman" w:cs="Times New Roman"/>
          <w:kern w:val="0"/>
          <w14:ligatures w14:val="none"/>
        </w:rPr>
        <w:t>does not contain sufficient human authorship</w:t>
      </w:r>
      <w:r w:rsidR="00972346">
        <w:rPr>
          <w:rFonts w:ascii="Times New Roman" w:eastAsia="Times New Roman" w:hAnsi="Times New Roman" w:cs="Times New Roman"/>
          <w:kern w:val="0"/>
          <w14:ligatures w14:val="none"/>
        </w:rPr>
        <w:t xml:space="preserve"> </w:t>
      </w:r>
      <w:r w:rsidR="00972346" w:rsidRPr="00972346">
        <w:rPr>
          <w:rFonts w:ascii="Times New Roman" w:eastAsia="Times New Roman" w:hAnsi="Times New Roman" w:cs="Times New Roman"/>
          <w:kern w:val="0"/>
          <w14:ligatures w14:val="none"/>
        </w:rPr>
        <w:t>necessary to sustain a claim to copyright.</w:t>
      </w:r>
      <w:r w:rsidR="00972346">
        <w:rPr>
          <w:rFonts w:ascii="Times New Roman" w:eastAsia="Times New Roman" w:hAnsi="Times New Roman" w:cs="Times New Roman"/>
          <w:kern w:val="0"/>
          <w14:ligatures w14:val="none"/>
        </w:rPr>
        <w:t>”</w:t>
      </w:r>
      <w:r w:rsidR="00972346">
        <w:rPr>
          <w:rStyle w:val="FootnoteReference"/>
          <w:rFonts w:ascii="Times New Roman" w:eastAsia="Times New Roman" w:hAnsi="Times New Roman" w:cs="Times New Roman"/>
          <w:kern w:val="0"/>
          <w14:ligatures w14:val="none"/>
        </w:rPr>
        <w:footnoteReference w:id="38"/>
      </w:r>
      <w:r w:rsidR="00972346">
        <w:rPr>
          <w:rFonts w:ascii="Times New Roman" w:eastAsia="Times New Roman" w:hAnsi="Times New Roman" w:cs="Times New Roman"/>
          <w:kern w:val="0"/>
          <w14:ligatures w14:val="none"/>
        </w:rPr>
        <w:t xml:space="preserve"> </w:t>
      </w:r>
    </w:p>
    <w:p w14:paraId="2809AB73" w14:textId="50E8D98A" w:rsidR="00F87E99" w:rsidRPr="001D6F1D" w:rsidRDefault="000F3CA9" w:rsidP="00034DDB">
      <w:pPr>
        <w:spacing w:before="100" w:beforeAutospacing="1" w:after="100" w:afterAutospacing="1"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 xml:space="preserve">A major issue that has yet to fully evolve was addressed extensively in </w:t>
      </w:r>
      <w:r w:rsidR="00F87E99" w:rsidRPr="000F3CA9">
        <w:rPr>
          <w:rFonts w:ascii="Times New Roman" w:eastAsia="Times New Roman" w:hAnsi="Times New Roman" w:cs="Times New Roman"/>
          <w:i/>
          <w:iCs/>
          <w:kern w:val="0"/>
          <w14:ligatures w14:val="none"/>
        </w:rPr>
        <w:t xml:space="preserve">Copyright </w:t>
      </w:r>
      <w:r>
        <w:rPr>
          <w:rFonts w:ascii="Times New Roman" w:eastAsia="Times New Roman" w:hAnsi="Times New Roman" w:cs="Times New Roman"/>
          <w:i/>
          <w:iCs/>
          <w:kern w:val="0"/>
          <w14:ligatures w14:val="none"/>
        </w:rPr>
        <w:t>Office</w:t>
      </w:r>
      <w:r w:rsidR="00F87E99" w:rsidRPr="000F3CA9">
        <w:rPr>
          <w:rFonts w:ascii="Times New Roman" w:eastAsia="Times New Roman" w:hAnsi="Times New Roman" w:cs="Times New Roman"/>
          <w:i/>
          <w:iCs/>
          <w:kern w:val="0"/>
          <w14:ligatures w14:val="none"/>
        </w:rPr>
        <w:t xml:space="preserve">: Part </w:t>
      </w:r>
      <w:r w:rsidR="009320F7">
        <w:rPr>
          <w:rFonts w:ascii="Times New Roman" w:eastAsia="Times New Roman" w:hAnsi="Times New Roman" w:cs="Times New Roman"/>
          <w:i/>
          <w:iCs/>
          <w:kern w:val="0"/>
          <w14:ligatures w14:val="none"/>
        </w:rPr>
        <w:t>2</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39"/>
      </w:r>
      <w:r>
        <w:rPr>
          <w:rFonts w:ascii="Times New Roman" w:eastAsia="Times New Roman" w:hAnsi="Times New Roman" w:cs="Times New Roman"/>
          <w:kern w:val="0"/>
          <w14:ligatures w14:val="none"/>
        </w:rPr>
        <w:t xml:space="preserve"> After reviewing many comments to its </w:t>
      </w:r>
      <w:r w:rsidRPr="00611F5C">
        <w:rPr>
          <w:rFonts w:ascii="Times New Roman" w:eastAsia="Times New Roman" w:hAnsi="Times New Roman" w:cs="Times New Roman"/>
          <w:i/>
          <w:kern w:val="0"/>
          <w14:ligatures w14:val="none"/>
        </w:rPr>
        <w:t>NOI</w:t>
      </w:r>
      <w:r>
        <w:rPr>
          <w:rFonts w:ascii="Times New Roman" w:eastAsia="Times New Roman" w:hAnsi="Times New Roman" w:cs="Times New Roman"/>
          <w:kern w:val="0"/>
          <w14:ligatures w14:val="none"/>
        </w:rPr>
        <w:t xml:space="preserve">, the Office </w:t>
      </w:r>
      <w:r w:rsidR="00F87E99" w:rsidRPr="000F3CA9">
        <w:rPr>
          <w:rFonts w:ascii="Times New Roman" w:eastAsia="Times New Roman" w:hAnsi="Times New Roman" w:cs="Times New Roman"/>
          <w:kern w:val="0"/>
          <w14:ligatures w14:val="none"/>
        </w:rPr>
        <w:t>not</w:t>
      </w:r>
      <w:r w:rsidR="00611F5C">
        <w:rPr>
          <w:rFonts w:ascii="Times New Roman" w:eastAsia="Times New Roman" w:hAnsi="Times New Roman" w:cs="Times New Roman"/>
          <w:kern w:val="0"/>
          <w14:ligatures w14:val="none"/>
        </w:rPr>
        <w:t>ed</w:t>
      </w:r>
      <w:r w:rsidR="00F87E99" w:rsidRPr="000F3CA9">
        <w:rPr>
          <w:rFonts w:ascii="Times New Roman" w:eastAsia="Times New Roman" w:hAnsi="Times New Roman" w:cs="Times New Roman"/>
          <w:kern w:val="0"/>
          <w14:ligatures w14:val="none"/>
        </w:rPr>
        <w:t xml:space="preserve"> that prompt design alone does </w:t>
      </w:r>
      <w:r w:rsidR="00F87E99" w:rsidRPr="000F3CA9">
        <w:rPr>
          <w:rFonts w:ascii="Times New Roman" w:eastAsia="Times New Roman" w:hAnsi="Times New Roman" w:cs="Times New Roman"/>
          <w:kern w:val="0"/>
          <w14:ligatures w14:val="none"/>
        </w:rPr>
        <w:lastRenderedPageBreak/>
        <w:t xml:space="preserve">not necessarily make a user an “author,” but that iterative, creative prompting and curation </w:t>
      </w:r>
      <w:r w:rsidR="001D6F1D" w:rsidRPr="001D6F1D">
        <w:rPr>
          <w:rFonts w:ascii="Times New Roman" w:eastAsia="Times New Roman" w:hAnsi="Times New Roman" w:cs="Times New Roman"/>
          <w:i/>
          <w:iCs/>
          <w:kern w:val="0"/>
          <w14:ligatures w14:val="none"/>
        </w:rPr>
        <w:t>may</w:t>
      </w:r>
      <w:r w:rsidR="00F87E99" w:rsidRPr="000F3CA9">
        <w:rPr>
          <w:rFonts w:ascii="Times New Roman" w:eastAsia="Times New Roman" w:hAnsi="Times New Roman" w:cs="Times New Roman"/>
          <w:kern w:val="0"/>
          <w14:ligatures w14:val="none"/>
        </w:rPr>
        <w:t xml:space="preserve"> amount to the human intellectual conception required for protection.</w:t>
      </w:r>
      <w:r w:rsidR="00F87E99" w:rsidRPr="000F3CA9">
        <w:rPr>
          <w:rFonts w:ascii="Times New Roman" w:eastAsia="Times New Roman" w:hAnsi="Times New Roman" w:cs="Times New Roman"/>
          <w:kern w:val="0"/>
          <w:vertAlign w:val="superscript"/>
          <w14:ligatures w14:val="none"/>
        </w:rPr>
        <w:footnoteReference w:id="40"/>
      </w:r>
    </w:p>
    <w:p w14:paraId="4B8D8AFB" w14:textId="58E2FEE2" w:rsidR="00034DDB" w:rsidRPr="00034DDB" w:rsidRDefault="00034DDB" w:rsidP="0006466D">
      <w:pPr>
        <w:spacing w:before="100" w:beforeAutospacing="1" w:after="100" w:afterAutospacing="1" w:line="240" w:lineRule="auto"/>
        <w:rPr>
          <w:rFonts w:ascii="Times New Roman" w:eastAsia="Times New Roman" w:hAnsi="Times New Roman" w:cs="Times New Roman"/>
          <w:kern w:val="0"/>
          <w14:ligatures w14:val="none"/>
        </w:rPr>
      </w:pPr>
      <w:r w:rsidRPr="00611F5C">
        <w:rPr>
          <w:rFonts w:ascii="Times New Roman" w:eastAsia="Times New Roman" w:hAnsi="Times New Roman" w:cs="Times New Roman"/>
          <w:kern w:val="0"/>
          <w14:ligatures w14:val="none"/>
        </w:rPr>
        <w:t xml:space="preserve">International approaches </w:t>
      </w:r>
      <w:r w:rsidR="00F1434F">
        <w:rPr>
          <w:rFonts w:ascii="Times New Roman" w:eastAsia="Times New Roman" w:hAnsi="Times New Roman" w:cs="Times New Roman"/>
          <w:kern w:val="0"/>
          <w14:ligatures w14:val="none"/>
        </w:rPr>
        <w:t xml:space="preserve">to authorship </w:t>
      </w:r>
      <w:r w:rsidR="00611F5C">
        <w:rPr>
          <w:rFonts w:ascii="Times New Roman" w:eastAsia="Times New Roman" w:hAnsi="Times New Roman" w:cs="Times New Roman"/>
          <w:kern w:val="0"/>
          <w14:ligatures w14:val="none"/>
        </w:rPr>
        <w:t xml:space="preserve">vary significantly. </w:t>
      </w:r>
      <w:r w:rsidRPr="00611F5C">
        <w:rPr>
          <w:rFonts w:ascii="Times New Roman" w:eastAsia="Times New Roman" w:hAnsi="Times New Roman" w:cs="Times New Roman"/>
          <w:kern w:val="0"/>
          <w14:ligatures w14:val="none"/>
        </w:rPr>
        <w:t>The United Kingdom</w:t>
      </w:r>
      <w:r w:rsidR="00B75A7C">
        <w:rPr>
          <w:rFonts w:ascii="Times New Roman" w:eastAsia="Times New Roman" w:hAnsi="Times New Roman" w:cs="Times New Roman"/>
          <w:kern w:val="0"/>
          <w14:ligatures w14:val="none"/>
        </w:rPr>
        <w:t>, in a law enacted before the development of AI,</w:t>
      </w:r>
      <w:r w:rsidRPr="00611F5C">
        <w:rPr>
          <w:rFonts w:ascii="Times New Roman" w:eastAsia="Times New Roman" w:hAnsi="Times New Roman" w:cs="Times New Roman"/>
          <w:kern w:val="0"/>
          <w14:ligatures w14:val="none"/>
        </w:rPr>
        <w:t xml:space="preserve"> recognizes protection for </w:t>
      </w:r>
      <w:r w:rsidR="00B75A7C">
        <w:rPr>
          <w:rFonts w:ascii="Times New Roman" w:eastAsia="Times New Roman" w:hAnsi="Times New Roman" w:cs="Times New Roman"/>
          <w:kern w:val="0"/>
          <w14:ligatures w14:val="none"/>
        </w:rPr>
        <w:t>works “generated by a computer in circumstances such that there is no human author of the work.”</w:t>
      </w:r>
      <w:r w:rsidR="00F43A2F" w:rsidRPr="00611F5C">
        <w:rPr>
          <w:rStyle w:val="FootnoteReference"/>
          <w:rFonts w:ascii="Times New Roman" w:eastAsia="Times New Roman" w:hAnsi="Times New Roman" w:cs="Times New Roman"/>
          <w:kern w:val="0"/>
          <w14:ligatures w14:val="none"/>
        </w:rPr>
        <w:footnoteReference w:id="41"/>
      </w:r>
      <w:r w:rsidRPr="00611F5C">
        <w:rPr>
          <w:rFonts w:ascii="Times New Roman" w:eastAsia="Times New Roman" w:hAnsi="Times New Roman" w:cs="Times New Roman"/>
          <w:kern w:val="0"/>
          <w14:ligatures w14:val="none"/>
        </w:rPr>
        <w:t xml:space="preserve"> China recognized copyright in </w:t>
      </w:r>
      <w:r w:rsidR="00B75A7C">
        <w:rPr>
          <w:rFonts w:ascii="Times New Roman" w:eastAsia="Times New Roman" w:hAnsi="Times New Roman" w:cs="Times New Roman"/>
          <w:kern w:val="0"/>
          <w14:ligatures w14:val="none"/>
        </w:rPr>
        <w:t>a case where a</w:t>
      </w:r>
      <w:r w:rsidR="002658B1">
        <w:rPr>
          <w:rFonts w:ascii="Times New Roman" w:eastAsia="Times New Roman" w:hAnsi="Times New Roman" w:cs="Times New Roman"/>
          <w:kern w:val="0"/>
          <w14:ligatures w14:val="none"/>
        </w:rPr>
        <w:t>n</w:t>
      </w:r>
      <w:r w:rsidR="00B75A7C">
        <w:rPr>
          <w:rFonts w:ascii="Times New Roman" w:eastAsia="Times New Roman" w:hAnsi="Times New Roman" w:cs="Times New Roman"/>
          <w:kern w:val="0"/>
          <w14:ligatures w14:val="none"/>
        </w:rPr>
        <w:t xml:space="preserve"> </w:t>
      </w:r>
      <w:r w:rsidR="002658B1">
        <w:rPr>
          <w:rFonts w:ascii="Times New Roman" w:eastAsia="Times New Roman" w:hAnsi="Times New Roman" w:cs="Times New Roman"/>
          <w:kern w:val="0"/>
          <w14:ligatures w14:val="none"/>
        </w:rPr>
        <w:t>author</w:t>
      </w:r>
      <w:r w:rsidR="00B75A7C">
        <w:rPr>
          <w:rFonts w:ascii="Times New Roman" w:eastAsia="Times New Roman" w:hAnsi="Times New Roman" w:cs="Times New Roman"/>
          <w:kern w:val="0"/>
          <w14:ligatures w14:val="none"/>
        </w:rPr>
        <w:t xml:space="preserve"> made extensive  prompts and modifications to the output of an AI image-generator</w:t>
      </w:r>
      <w:r w:rsidR="002658B1">
        <w:rPr>
          <w:rFonts w:ascii="Times New Roman" w:eastAsia="Times New Roman" w:hAnsi="Times New Roman" w:cs="Times New Roman"/>
          <w:kern w:val="0"/>
          <w14:ligatures w14:val="none"/>
        </w:rPr>
        <w:t>, to the extent that the image produced was the result of the author’s “intellectual achievements.”</w:t>
      </w:r>
      <w:r w:rsidR="00F43A2F" w:rsidRPr="00611F5C">
        <w:rPr>
          <w:rStyle w:val="FootnoteReference"/>
          <w:rFonts w:ascii="Times New Roman" w:eastAsia="Times New Roman" w:hAnsi="Times New Roman" w:cs="Times New Roman"/>
          <w:kern w:val="0"/>
          <w14:ligatures w14:val="none"/>
        </w:rPr>
        <w:footnoteReference w:id="42"/>
      </w:r>
      <w:r w:rsidRPr="00611F5C">
        <w:rPr>
          <w:rFonts w:ascii="Times New Roman" w:eastAsia="Times New Roman" w:hAnsi="Times New Roman" w:cs="Times New Roman"/>
          <w:kern w:val="0"/>
          <w14:ligatures w14:val="none"/>
        </w:rPr>
        <w:t xml:space="preserve"> </w:t>
      </w:r>
      <w:r w:rsidR="002658B1">
        <w:rPr>
          <w:rFonts w:ascii="Times New Roman" w:eastAsia="Times New Roman" w:hAnsi="Times New Roman" w:cs="Times New Roman"/>
          <w:kern w:val="0"/>
          <w14:ligatures w14:val="none"/>
        </w:rPr>
        <w:t xml:space="preserve">The </w:t>
      </w:r>
      <w:r w:rsidRPr="00611F5C">
        <w:rPr>
          <w:rFonts w:ascii="Times New Roman" w:eastAsia="Times New Roman" w:hAnsi="Times New Roman" w:cs="Times New Roman"/>
          <w:kern w:val="0"/>
          <w14:ligatures w14:val="none"/>
        </w:rPr>
        <w:t xml:space="preserve"> European Union</w:t>
      </w:r>
      <w:r w:rsidR="0006466D">
        <w:rPr>
          <w:rFonts w:ascii="Times New Roman" w:eastAsia="Times New Roman" w:hAnsi="Times New Roman" w:cs="Times New Roman"/>
          <w:kern w:val="0"/>
          <w14:ligatures w14:val="none"/>
        </w:rPr>
        <w:t xml:space="preserve"> states that AI-generated content may be eligible for copyright </w:t>
      </w:r>
      <w:r w:rsidR="0006466D" w:rsidRPr="0006466D">
        <w:rPr>
          <w:rFonts w:ascii="Times New Roman" w:eastAsia="Times New Roman" w:hAnsi="Times New Roman" w:cs="Times New Roman"/>
          <w:kern w:val="0"/>
          <w14:ligatures w14:val="none"/>
        </w:rPr>
        <w:t xml:space="preserve">“only if the </w:t>
      </w:r>
      <w:r w:rsidR="0006466D" w:rsidRPr="0006466D">
        <w:rPr>
          <w:rFonts w:ascii="Times New Roman" w:eastAsia="Times New Roman" w:hAnsi="Times New Roman" w:cs="Times New Roman"/>
          <w:iCs/>
          <w:kern w:val="0"/>
          <w14:ligatures w14:val="none"/>
        </w:rPr>
        <w:t xml:space="preserve">human input in </w:t>
      </w:r>
      <w:r w:rsidR="0006466D" w:rsidRPr="0006466D">
        <w:rPr>
          <w:rFonts w:ascii="Times New Roman" w:eastAsia="Times New Roman" w:hAnsi="Times New Roman" w:cs="Times New Roman"/>
          <w:kern w:val="0"/>
          <w14:ligatures w14:val="none"/>
        </w:rPr>
        <w:t>[</w:t>
      </w:r>
      <w:r w:rsidR="0006466D" w:rsidRPr="0006466D">
        <w:rPr>
          <w:rFonts w:ascii="Times New Roman" w:eastAsia="Times New Roman" w:hAnsi="Times New Roman" w:cs="Times New Roman"/>
          <w:iCs/>
          <w:kern w:val="0"/>
          <w14:ligatures w14:val="none"/>
        </w:rPr>
        <w:t>the</w:t>
      </w:r>
      <w:r w:rsidR="0006466D" w:rsidRPr="0006466D">
        <w:rPr>
          <w:rFonts w:ascii="Times New Roman" w:eastAsia="Times New Roman" w:hAnsi="Times New Roman" w:cs="Times New Roman"/>
          <w:kern w:val="0"/>
          <w14:ligatures w14:val="none"/>
        </w:rPr>
        <w:t xml:space="preserve">] </w:t>
      </w:r>
      <w:r w:rsidR="0006466D" w:rsidRPr="0006466D">
        <w:rPr>
          <w:rFonts w:ascii="Times New Roman" w:eastAsia="Times New Roman" w:hAnsi="Times New Roman" w:cs="Times New Roman"/>
          <w:iCs/>
          <w:kern w:val="0"/>
          <w14:ligatures w14:val="none"/>
        </w:rPr>
        <w:t>creative process was significant</w:t>
      </w:r>
      <w:r w:rsidR="0006466D" w:rsidRPr="0006466D">
        <w:rPr>
          <w:rFonts w:ascii="Times New Roman" w:eastAsia="Times New Roman" w:hAnsi="Times New Roman" w:cs="Times New Roman"/>
          <w:kern w:val="0"/>
          <w14:ligatures w14:val="none"/>
        </w:rPr>
        <w:t>.”</w:t>
      </w:r>
      <w:r w:rsidR="00FF6D12" w:rsidRPr="00611F5C">
        <w:rPr>
          <w:rStyle w:val="FootnoteReference"/>
          <w:rFonts w:ascii="Times New Roman" w:eastAsia="Times New Roman" w:hAnsi="Times New Roman" w:cs="Times New Roman"/>
          <w:kern w:val="0"/>
          <w14:ligatures w14:val="none"/>
        </w:rPr>
        <w:footnoteReference w:id="43"/>
      </w:r>
      <w:r w:rsidRPr="00611F5C">
        <w:rPr>
          <w:rFonts w:ascii="Times New Roman" w:eastAsia="Times New Roman" w:hAnsi="Times New Roman" w:cs="Times New Roman"/>
          <w:kern w:val="0"/>
          <w14:ligatures w14:val="none"/>
        </w:rPr>
        <w:t xml:space="preserve"> </w:t>
      </w:r>
    </w:p>
    <w:p w14:paraId="1D84AC85" w14:textId="23DC2F9C" w:rsidR="00AF7AD4" w:rsidRDefault="009626F4" w:rsidP="00AF7AD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6" w:name="_Toc220693046"/>
      <w:r w:rsidRPr="00421276">
        <w:rPr>
          <w:rFonts w:ascii="Times New Roman" w:eastAsia="Times New Roman" w:hAnsi="Times New Roman" w:cs="Times New Roman"/>
          <w:b/>
          <w:bCs/>
          <w:kern w:val="0"/>
          <w:sz w:val="36"/>
          <w:szCs w:val="36"/>
          <w14:ligatures w14:val="none"/>
        </w:rPr>
        <w:t>PART I</w:t>
      </w:r>
      <w:r w:rsidR="005F1CF0">
        <w:rPr>
          <w:rFonts w:ascii="Times New Roman" w:eastAsia="Times New Roman" w:hAnsi="Times New Roman" w:cs="Times New Roman"/>
          <w:b/>
          <w:bCs/>
          <w:kern w:val="0"/>
          <w:sz w:val="36"/>
          <w:szCs w:val="36"/>
          <w14:ligatures w14:val="none"/>
        </w:rPr>
        <w:t>V</w:t>
      </w:r>
      <w:r w:rsidRPr="00421276">
        <w:rPr>
          <w:rFonts w:ascii="Times New Roman" w:eastAsia="Times New Roman" w:hAnsi="Times New Roman" w:cs="Times New Roman"/>
          <w:b/>
          <w:bCs/>
          <w:kern w:val="0"/>
          <w:sz w:val="36"/>
          <w:szCs w:val="36"/>
          <w14:ligatures w14:val="none"/>
        </w:rPr>
        <w:t>. SUBSTANTIAL SIMILARITY AND THE PROBLEM OF STYLE</w:t>
      </w:r>
      <w:bookmarkEnd w:id="16"/>
    </w:p>
    <w:p w14:paraId="2EC83B1D" w14:textId="2D0D5005" w:rsidR="009626F4" w:rsidRDefault="009626F4" w:rsidP="00AF7A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7" w:name="_Toc220693047"/>
      <w:r w:rsidRPr="00421276">
        <w:rPr>
          <w:rFonts w:ascii="Times New Roman" w:eastAsia="Times New Roman" w:hAnsi="Times New Roman" w:cs="Times New Roman"/>
          <w:b/>
          <w:bCs/>
          <w:kern w:val="0"/>
          <w:sz w:val="27"/>
          <w:szCs w:val="27"/>
          <w14:ligatures w14:val="none"/>
        </w:rPr>
        <w:t>A. The Emergence of the “Look and Feel” Doctrine</w:t>
      </w:r>
      <w:bookmarkEnd w:id="17"/>
    </w:p>
    <w:p w14:paraId="52909FE0" w14:textId="21716517"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concept of </w:t>
      </w:r>
      <w:r w:rsidRPr="00421276">
        <w:rPr>
          <w:rFonts w:ascii="Times New Roman" w:eastAsia="Times New Roman" w:hAnsi="Times New Roman" w:cs="Times New Roman"/>
          <w:i/>
          <w:iCs/>
          <w:kern w:val="0"/>
          <w14:ligatures w14:val="none"/>
        </w:rPr>
        <w:t>substantial similarity</w:t>
      </w:r>
      <w:r w:rsidRPr="00421276">
        <w:rPr>
          <w:rFonts w:ascii="Times New Roman" w:eastAsia="Times New Roman" w:hAnsi="Times New Roman" w:cs="Times New Roman"/>
          <w:kern w:val="0"/>
          <w14:ligatures w14:val="none"/>
        </w:rPr>
        <w:t>—the measure of how much copying is “too much”—has challenged courts since the beginning of modern copyright</w:t>
      </w:r>
      <w:r w:rsidR="001D6F1D">
        <w:rPr>
          <w:rFonts w:ascii="Times New Roman" w:eastAsia="Times New Roman" w:hAnsi="Times New Roman" w:cs="Times New Roman"/>
          <w:kern w:val="0"/>
          <w14:ligatures w14:val="none"/>
        </w:rPr>
        <w:t xml:space="preserve"> jurisprudence</w:t>
      </w:r>
      <w:r w:rsidRPr="00421276">
        <w:rPr>
          <w:rFonts w:ascii="Times New Roman" w:eastAsia="Times New Roman" w:hAnsi="Times New Roman" w:cs="Times New Roman"/>
          <w:kern w:val="0"/>
          <w14:ligatures w14:val="none"/>
        </w:rPr>
        <w:t xml:space="preserve">. While </w:t>
      </w:r>
      <w:r w:rsidRPr="00421276">
        <w:rPr>
          <w:rFonts w:ascii="Times New Roman" w:eastAsia="Times New Roman" w:hAnsi="Times New Roman" w:cs="Times New Roman"/>
          <w:i/>
          <w:iCs/>
          <w:kern w:val="0"/>
          <w14:ligatures w14:val="none"/>
        </w:rPr>
        <w:t>Baker</w:t>
      </w:r>
      <w:r w:rsidRPr="00421276">
        <w:rPr>
          <w:rFonts w:ascii="Times New Roman" w:eastAsia="Times New Roman" w:hAnsi="Times New Roman" w:cs="Times New Roman"/>
          <w:kern w:val="0"/>
          <w14:ligatures w14:val="none"/>
        </w:rPr>
        <w:t xml:space="preserve"> drew the boundary between idea and expression, it was </w:t>
      </w:r>
      <w:r w:rsidRPr="00421276">
        <w:rPr>
          <w:rFonts w:ascii="Times New Roman" w:eastAsia="Times New Roman" w:hAnsi="Times New Roman" w:cs="Times New Roman"/>
          <w:i/>
          <w:iCs/>
          <w:kern w:val="0"/>
          <w14:ligatures w14:val="none"/>
        </w:rPr>
        <w:t>Atari, Inc. v. North American Philips Consumer Electronics Corp.</w:t>
      </w:r>
      <w:r w:rsidRPr="00421276">
        <w:rPr>
          <w:rFonts w:ascii="Times New Roman" w:eastAsia="Times New Roman" w:hAnsi="Times New Roman" w:cs="Times New Roman"/>
          <w:kern w:val="0"/>
          <w14:ligatures w14:val="none"/>
        </w:rPr>
        <w:t xml:space="preserve"> that gave practical shape to the inquiry.</w:t>
      </w:r>
      <w:r w:rsidR="00DA3077">
        <w:rPr>
          <w:rStyle w:val="FootnoteReference"/>
          <w:rFonts w:ascii="Times New Roman" w:eastAsia="Times New Roman" w:hAnsi="Times New Roman" w:cs="Times New Roman"/>
          <w:kern w:val="0"/>
          <w14:ligatures w14:val="none"/>
        </w:rPr>
        <w:footnoteReference w:id="44"/>
      </w:r>
      <w:r w:rsidR="00DA3077" w:rsidRPr="00421276">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 xml:space="preserve">In that case, the Seventh Circuit held that the video game </w:t>
      </w:r>
      <w:r w:rsidRPr="00421276">
        <w:rPr>
          <w:rFonts w:ascii="Times New Roman" w:eastAsia="Times New Roman" w:hAnsi="Times New Roman" w:cs="Times New Roman"/>
          <w:i/>
          <w:iCs/>
          <w:kern w:val="0"/>
          <w14:ligatures w14:val="none"/>
        </w:rPr>
        <w:t>K.C. Munchkin</w:t>
      </w:r>
      <w:r w:rsidRPr="00421276">
        <w:rPr>
          <w:rFonts w:ascii="Times New Roman" w:eastAsia="Times New Roman" w:hAnsi="Times New Roman" w:cs="Times New Roman"/>
          <w:kern w:val="0"/>
          <w14:ligatures w14:val="none"/>
        </w:rPr>
        <w:t xml:space="preserve"> infringed </w:t>
      </w:r>
      <w:r w:rsidRPr="00421276">
        <w:rPr>
          <w:rFonts w:ascii="Times New Roman" w:eastAsia="Times New Roman" w:hAnsi="Times New Roman" w:cs="Times New Roman"/>
          <w:i/>
          <w:iCs/>
          <w:kern w:val="0"/>
          <w14:ligatures w14:val="none"/>
        </w:rPr>
        <w:t>Pac-Man</w:t>
      </w:r>
      <w:r w:rsidRPr="00421276">
        <w:rPr>
          <w:rFonts w:ascii="Times New Roman" w:eastAsia="Times New Roman" w:hAnsi="Times New Roman" w:cs="Times New Roman"/>
          <w:kern w:val="0"/>
          <w14:ligatures w14:val="none"/>
        </w:rPr>
        <w:t xml:space="preserve"> because its “total concept and feel” were substantially similar</w:t>
      </w:r>
      <w:r w:rsidR="00FF6D12">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45"/>
      </w:r>
      <w:r w:rsidRPr="00421276">
        <w:rPr>
          <w:rFonts w:ascii="Times New Roman" w:eastAsia="Times New Roman" w:hAnsi="Times New Roman" w:cs="Times New Roman"/>
          <w:kern w:val="0"/>
          <w14:ligatures w14:val="none"/>
        </w:rPr>
        <w:t xml:space="preserve"> Even though the infringing game had altered certain colors, shapes, and character movements, the court found the overall impression unmistakably derivative.</w:t>
      </w:r>
      <w:r w:rsidR="00DA3077">
        <w:rPr>
          <w:rStyle w:val="FootnoteReference"/>
          <w:rFonts w:ascii="Times New Roman" w:eastAsia="Times New Roman" w:hAnsi="Times New Roman" w:cs="Times New Roman"/>
          <w:kern w:val="0"/>
          <w14:ligatures w14:val="none"/>
        </w:rPr>
        <w:footnoteReference w:id="46"/>
      </w:r>
    </w:p>
    <w:p w14:paraId="11523423" w14:textId="50C4B77E" w:rsidR="009626F4" w:rsidRPr="00421276"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decision captured both the promise and the peril of the substantial-similarity test. It acknowledged that copying can occur even without literal duplication, but it also exposed the </w:t>
      </w:r>
      <w:r w:rsidR="001D6F1D" w:rsidRPr="00421276">
        <w:rPr>
          <w:rFonts w:ascii="Times New Roman" w:eastAsia="Times New Roman" w:hAnsi="Times New Roman" w:cs="Times New Roman"/>
          <w:kern w:val="0"/>
          <w14:ligatures w14:val="none"/>
        </w:rPr>
        <w:t xml:space="preserve">inherent </w:t>
      </w:r>
      <w:r w:rsidR="001D6F1D">
        <w:rPr>
          <w:rFonts w:ascii="Times New Roman" w:eastAsia="Times New Roman" w:hAnsi="Times New Roman" w:cs="Times New Roman"/>
          <w:kern w:val="0"/>
          <w14:ligatures w14:val="none"/>
        </w:rPr>
        <w:t>s</w:t>
      </w:r>
      <w:r w:rsidRPr="00421276">
        <w:rPr>
          <w:rFonts w:ascii="Times New Roman" w:eastAsia="Times New Roman" w:hAnsi="Times New Roman" w:cs="Times New Roman"/>
          <w:kern w:val="0"/>
          <w14:ligatures w14:val="none"/>
        </w:rPr>
        <w:t xml:space="preserve">ubjectivity in determining when two works “feel” </w:t>
      </w:r>
      <w:r w:rsidR="001D6F1D">
        <w:rPr>
          <w:rFonts w:ascii="Times New Roman" w:eastAsia="Times New Roman" w:hAnsi="Times New Roman" w:cs="Times New Roman"/>
          <w:kern w:val="0"/>
          <w14:ligatures w14:val="none"/>
        </w:rPr>
        <w:t xml:space="preserve">too much </w:t>
      </w:r>
      <w:r w:rsidRPr="00421276">
        <w:rPr>
          <w:rFonts w:ascii="Times New Roman" w:eastAsia="Times New Roman" w:hAnsi="Times New Roman" w:cs="Times New Roman"/>
          <w:kern w:val="0"/>
          <w14:ligatures w14:val="none"/>
        </w:rPr>
        <w:t xml:space="preserve">alike. The court noted that the defendant’s designer had </w:t>
      </w:r>
      <w:r w:rsidR="00F1434F">
        <w:rPr>
          <w:rFonts w:ascii="Times New Roman" w:eastAsia="Times New Roman" w:hAnsi="Times New Roman" w:cs="Times New Roman"/>
          <w:kern w:val="0"/>
          <w14:ligatures w14:val="none"/>
        </w:rPr>
        <w:t xml:space="preserve">been asked to </w:t>
      </w:r>
      <w:r w:rsidR="00953269">
        <w:rPr>
          <w:rFonts w:ascii="Times New Roman" w:eastAsia="Times New Roman" w:hAnsi="Times New Roman" w:cs="Times New Roman"/>
          <w:kern w:val="0"/>
          <w14:ligatures w14:val="none"/>
        </w:rPr>
        <w:t>chang</w:t>
      </w:r>
      <w:r w:rsidR="00F1434F">
        <w:rPr>
          <w:rFonts w:ascii="Times New Roman" w:eastAsia="Times New Roman" w:hAnsi="Times New Roman" w:cs="Times New Roman"/>
          <w:kern w:val="0"/>
          <w14:ligatures w14:val="none"/>
        </w:rPr>
        <w:t>e</w:t>
      </w:r>
      <w:r w:rsidR="00953269">
        <w:rPr>
          <w:rFonts w:ascii="Times New Roman" w:eastAsia="Times New Roman" w:hAnsi="Times New Roman" w:cs="Times New Roman"/>
          <w:kern w:val="0"/>
          <w14:ligatures w14:val="none"/>
        </w:rPr>
        <w:t xml:space="preserve"> the color of</w:t>
      </w:r>
      <w:r w:rsidR="001D6F1D">
        <w:rPr>
          <w:rFonts w:ascii="Times New Roman" w:eastAsia="Times New Roman" w:hAnsi="Times New Roman" w:cs="Times New Roman"/>
          <w:kern w:val="0"/>
          <w14:ligatures w14:val="none"/>
        </w:rPr>
        <w:t xml:space="preserve"> </w:t>
      </w:r>
      <w:r w:rsidR="00953269">
        <w:rPr>
          <w:rFonts w:ascii="Times New Roman" w:eastAsia="Times New Roman" w:hAnsi="Times New Roman" w:cs="Times New Roman"/>
          <w:kern w:val="0"/>
          <w14:ligatures w14:val="none"/>
        </w:rPr>
        <w:t xml:space="preserve">the “gobbler” from yellow to blue </w:t>
      </w:r>
      <w:r w:rsidR="00953269">
        <w:rPr>
          <w:rFonts w:ascii="Times New Roman" w:eastAsia="Times New Roman" w:hAnsi="Times New Roman" w:cs="Times New Roman"/>
          <w:kern w:val="0"/>
          <w14:ligatures w14:val="none"/>
        </w:rPr>
        <w:lastRenderedPageBreak/>
        <w:t xml:space="preserve">in order to </w:t>
      </w:r>
      <w:r w:rsidR="00F1434F">
        <w:rPr>
          <w:rFonts w:ascii="Times New Roman" w:eastAsia="Times New Roman" w:hAnsi="Times New Roman" w:cs="Times New Roman"/>
          <w:kern w:val="0"/>
          <w14:ligatures w14:val="none"/>
        </w:rPr>
        <w:t xml:space="preserve">try to </w:t>
      </w:r>
      <w:r w:rsidR="00953269">
        <w:rPr>
          <w:rFonts w:ascii="Times New Roman" w:eastAsia="Times New Roman" w:hAnsi="Times New Roman" w:cs="Times New Roman"/>
          <w:kern w:val="0"/>
          <w14:ligatures w14:val="none"/>
        </w:rPr>
        <w:t xml:space="preserve">avoid any claim of </w:t>
      </w:r>
      <w:r w:rsidR="00F1434F">
        <w:rPr>
          <w:rFonts w:ascii="Times New Roman" w:eastAsia="Times New Roman" w:hAnsi="Times New Roman" w:cs="Times New Roman"/>
          <w:kern w:val="0"/>
          <w14:ligatures w14:val="none"/>
        </w:rPr>
        <w:t>substantial similarity</w:t>
      </w:r>
      <w:r w:rsidR="00573359">
        <w:rPr>
          <w:rFonts w:ascii="Times New Roman" w:eastAsia="Times New Roman" w:hAnsi="Times New Roman" w:cs="Times New Roman"/>
          <w:kern w:val="0"/>
          <w14:ligatures w14:val="none"/>
        </w:rPr>
        <w:t xml:space="preserve">, </w:t>
      </w:r>
      <w:r w:rsidRPr="00421276">
        <w:rPr>
          <w:rFonts w:ascii="Times New Roman" w:eastAsia="Times New Roman" w:hAnsi="Times New Roman" w:cs="Times New Roman"/>
          <w:kern w:val="0"/>
          <w14:ligatures w14:val="none"/>
        </w:rPr>
        <w:t>underscoring how intention to mimic—even when tempered by alteration—can shape the infringement analysis</w:t>
      </w:r>
      <w:r>
        <w:rPr>
          <w:rStyle w:val="FootnoteReference"/>
          <w:rFonts w:ascii="Times New Roman" w:eastAsia="Times New Roman" w:hAnsi="Times New Roman" w:cs="Times New Roman"/>
          <w:kern w:val="0"/>
          <w14:ligatures w14:val="none"/>
        </w:rPr>
        <w:footnoteReference w:id="47"/>
      </w:r>
      <w:r w:rsidRPr="00421276">
        <w:rPr>
          <w:rFonts w:ascii="Times New Roman" w:eastAsia="Times New Roman" w:hAnsi="Times New Roman" w:cs="Times New Roman"/>
          <w:kern w:val="0"/>
          <w14:ligatures w14:val="none"/>
        </w:rPr>
        <w:t>.</w:t>
      </w:r>
    </w:p>
    <w:p w14:paraId="19A6DB70" w14:textId="7AF40026" w:rsidR="009626F4" w:rsidRPr="00421276" w:rsidRDefault="009626F4" w:rsidP="009A22AC">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As technology advanced, courts struggled to balance protection for creative design against the need to preserve competition and innovation. </w:t>
      </w:r>
      <w:r w:rsidRPr="00421276">
        <w:rPr>
          <w:rFonts w:ascii="Times New Roman" w:eastAsia="Times New Roman" w:hAnsi="Times New Roman" w:cs="Times New Roman"/>
          <w:i/>
          <w:iCs/>
          <w:kern w:val="0"/>
          <w14:ligatures w14:val="none"/>
        </w:rPr>
        <w:t>Apple Computer, Inc. v. Microsoft Corp.</w:t>
      </w:r>
      <w:r>
        <w:rPr>
          <w:rStyle w:val="FootnoteReference"/>
          <w:rFonts w:ascii="Times New Roman" w:eastAsia="Times New Roman" w:hAnsi="Times New Roman" w:cs="Times New Roman"/>
          <w:kern w:val="0"/>
          <w14:ligatures w14:val="none"/>
        </w:rPr>
        <w:footnoteReference w:id="48"/>
      </w:r>
      <w:r w:rsidRPr="00421276">
        <w:rPr>
          <w:rFonts w:ascii="Times New Roman" w:eastAsia="Times New Roman" w:hAnsi="Times New Roman" w:cs="Times New Roman"/>
          <w:kern w:val="0"/>
          <w14:ligatures w14:val="none"/>
        </w:rPr>
        <w:t xml:space="preserve"> narrowed </w:t>
      </w:r>
      <w:r w:rsidRPr="00421276">
        <w:rPr>
          <w:rFonts w:ascii="Times New Roman" w:eastAsia="Times New Roman" w:hAnsi="Times New Roman" w:cs="Times New Roman"/>
          <w:i/>
          <w:iCs/>
          <w:kern w:val="0"/>
          <w14:ligatures w14:val="none"/>
        </w:rPr>
        <w:t>Atari</w:t>
      </w:r>
      <w:r w:rsidRPr="00421276">
        <w:rPr>
          <w:rFonts w:ascii="Times New Roman" w:eastAsia="Times New Roman" w:hAnsi="Times New Roman" w:cs="Times New Roman"/>
          <w:kern w:val="0"/>
          <w14:ligatures w14:val="none"/>
        </w:rPr>
        <w:t>’s reach by holding that graphical user interfaces, being largely functional, deserved only thin protection. The aesthetic overlap between windows, icons, and menus was inevitable, the Ninth Circuit reasoned, because those elements were as much about usability as expression.</w:t>
      </w:r>
      <w:r w:rsidR="00573359">
        <w:rPr>
          <w:rStyle w:val="FootnoteReference"/>
          <w:rFonts w:ascii="Times New Roman" w:eastAsia="Times New Roman" w:hAnsi="Times New Roman" w:cs="Times New Roman"/>
          <w:kern w:val="0"/>
          <w14:ligatures w14:val="none"/>
        </w:rPr>
        <w:footnoteReference w:id="49"/>
      </w:r>
      <w:r w:rsidR="00A53BDF">
        <w:rPr>
          <w:rFonts w:ascii="Times New Roman" w:eastAsia="Times New Roman" w:hAnsi="Times New Roman" w:cs="Times New Roman"/>
          <w:kern w:val="0"/>
          <w14:ligatures w14:val="none"/>
        </w:rPr>
        <w:t xml:space="preserve"> </w:t>
      </w:r>
      <w:r w:rsidR="00A53BDF" w:rsidRPr="00A53BDF">
        <w:rPr>
          <w:rFonts w:ascii="Times New Roman" w:eastAsia="Times New Roman" w:hAnsi="Times New Roman" w:cs="Times New Roman"/>
          <w:kern w:val="0"/>
          <w14:ligatures w14:val="none"/>
        </w:rPr>
        <w:t xml:space="preserve">Recent cases have extended this reasoning beyond software. In </w:t>
      </w:r>
      <w:proofErr w:type="spellStart"/>
      <w:r w:rsidR="00A53BDF" w:rsidRPr="00A53BDF">
        <w:rPr>
          <w:rFonts w:ascii="Times New Roman" w:eastAsia="Times New Roman" w:hAnsi="Times New Roman" w:cs="Times New Roman"/>
          <w:i/>
          <w:iCs/>
          <w:kern w:val="0"/>
          <w14:ligatures w14:val="none"/>
        </w:rPr>
        <w:t>Sedlik</w:t>
      </w:r>
      <w:proofErr w:type="spellEnd"/>
      <w:r w:rsidR="00A53BDF" w:rsidRPr="00A53BDF">
        <w:rPr>
          <w:rFonts w:ascii="Times New Roman" w:eastAsia="Times New Roman" w:hAnsi="Times New Roman" w:cs="Times New Roman"/>
          <w:i/>
          <w:iCs/>
          <w:kern w:val="0"/>
          <w14:ligatures w14:val="none"/>
        </w:rPr>
        <w:t xml:space="preserve"> v. von Drachenberg</w:t>
      </w:r>
      <w:r w:rsidR="00A53BDF" w:rsidRPr="00A53BDF">
        <w:rPr>
          <w:rFonts w:ascii="Times New Roman" w:eastAsia="Times New Roman" w:hAnsi="Times New Roman" w:cs="Times New Roman"/>
          <w:kern w:val="0"/>
          <w14:ligatures w14:val="none"/>
        </w:rPr>
        <w:t xml:space="preserve">, the </w:t>
      </w:r>
      <w:r w:rsidR="009A22AC">
        <w:rPr>
          <w:rFonts w:ascii="Times New Roman" w:eastAsia="Times New Roman" w:hAnsi="Times New Roman" w:cs="Times New Roman"/>
          <w:kern w:val="0"/>
          <w14:ligatures w14:val="none"/>
        </w:rPr>
        <w:t xml:space="preserve">Ninth Circuit Court of Appeals affirmed a jury verdict that </w:t>
      </w:r>
      <w:r w:rsidR="00A53BDF" w:rsidRPr="00A53BDF">
        <w:rPr>
          <w:rFonts w:ascii="Times New Roman" w:eastAsia="Times New Roman" w:hAnsi="Times New Roman" w:cs="Times New Roman"/>
          <w:kern w:val="0"/>
          <w14:ligatures w14:val="none"/>
        </w:rPr>
        <w:t xml:space="preserve">applied the ‘total concept and feel’ standard to determine that a tattoo reproducing a copyrighted photograph was </w:t>
      </w:r>
      <w:r w:rsidR="008C56B4">
        <w:rPr>
          <w:rFonts w:ascii="Times New Roman" w:eastAsia="Times New Roman" w:hAnsi="Times New Roman" w:cs="Times New Roman"/>
          <w:kern w:val="0"/>
          <w14:ligatures w14:val="none"/>
        </w:rPr>
        <w:t>not infringement</w:t>
      </w:r>
      <w:r w:rsidR="00A53BDF" w:rsidRPr="00A53BDF">
        <w:rPr>
          <w:rFonts w:ascii="Times New Roman" w:eastAsia="Times New Roman" w:hAnsi="Times New Roman" w:cs="Times New Roman"/>
          <w:kern w:val="0"/>
          <w14:ligatures w14:val="none"/>
        </w:rPr>
        <w:t>.</w:t>
      </w:r>
      <w:r w:rsidR="00A53BDF">
        <w:rPr>
          <w:rStyle w:val="FootnoteReference"/>
          <w:rFonts w:ascii="Times New Roman" w:eastAsia="Times New Roman" w:hAnsi="Times New Roman" w:cs="Times New Roman"/>
          <w:kern w:val="0"/>
          <w14:ligatures w14:val="none"/>
        </w:rPr>
        <w:footnoteReference w:id="50"/>
      </w:r>
      <w:r w:rsidR="009A22AC">
        <w:rPr>
          <w:rFonts w:ascii="Times New Roman" w:eastAsia="Times New Roman" w:hAnsi="Times New Roman" w:cs="Times New Roman"/>
          <w:kern w:val="0"/>
          <w14:ligatures w14:val="none"/>
        </w:rPr>
        <w:t xml:space="preserve"> The court stated that it was applying a test created by th</w:t>
      </w:r>
      <w:r w:rsidR="00F1434F">
        <w:rPr>
          <w:rFonts w:ascii="Times New Roman" w:eastAsia="Times New Roman" w:hAnsi="Times New Roman" w:cs="Times New Roman"/>
          <w:kern w:val="0"/>
          <w14:ligatures w14:val="none"/>
        </w:rPr>
        <w:t>e Ninth Circuit</w:t>
      </w:r>
      <w:r w:rsidR="00070847">
        <w:rPr>
          <w:rFonts w:ascii="Times New Roman" w:eastAsia="Times New Roman" w:hAnsi="Times New Roman" w:cs="Times New Roman"/>
          <w:kern w:val="0"/>
          <w14:ligatures w14:val="none"/>
        </w:rPr>
        <w:t>,</w:t>
      </w:r>
      <w:r w:rsidR="00F1434F">
        <w:rPr>
          <w:rFonts w:ascii="Times New Roman" w:eastAsia="Times New Roman" w:hAnsi="Times New Roman" w:cs="Times New Roman"/>
          <w:kern w:val="0"/>
          <w14:ligatures w14:val="none"/>
        </w:rPr>
        <w:t xml:space="preserve"> </w:t>
      </w:r>
      <w:r w:rsidR="00070847">
        <w:rPr>
          <w:rFonts w:ascii="Times New Roman" w:eastAsia="Times New Roman" w:hAnsi="Times New Roman" w:cs="Times New Roman"/>
          <w:kern w:val="0"/>
          <w14:ligatures w14:val="none"/>
        </w:rPr>
        <w:t>but</w:t>
      </w:r>
      <w:r w:rsidR="009A22AC">
        <w:rPr>
          <w:rFonts w:ascii="Times New Roman" w:eastAsia="Times New Roman" w:hAnsi="Times New Roman" w:cs="Times New Roman"/>
          <w:kern w:val="0"/>
          <w14:ligatures w14:val="none"/>
        </w:rPr>
        <w:t xml:space="preserve"> which was never blessed by the Supreme Court: </w:t>
      </w:r>
      <w:r w:rsidR="008D6381">
        <w:rPr>
          <w:rFonts w:ascii="Times New Roman" w:eastAsia="Times New Roman" w:hAnsi="Times New Roman" w:cs="Times New Roman"/>
          <w:kern w:val="0"/>
          <w14:ligatures w14:val="none"/>
        </w:rPr>
        <w:t>the</w:t>
      </w:r>
      <w:r w:rsidR="009A22AC">
        <w:rPr>
          <w:rFonts w:ascii="Times New Roman" w:eastAsia="Times New Roman" w:hAnsi="Times New Roman" w:cs="Times New Roman"/>
          <w:kern w:val="0"/>
          <w14:ligatures w14:val="none"/>
        </w:rPr>
        <w:t xml:space="preserve"> </w:t>
      </w:r>
      <w:r w:rsidR="009A22AC" w:rsidRPr="009A22AC">
        <w:rPr>
          <w:rFonts w:ascii="Times New Roman" w:eastAsia="Times New Roman" w:hAnsi="Times New Roman" w:cs="Times New Roman"/>
          <w:kern w:val="0"/>
          <w14:ligatures w14:val="none"/>
        </w:rPr>
        <w:t>intrinsic test is “subjective and asks whether the ordinary, reasonable person would find the total concept and feel of the works to be substantially similar.”</w:t>
      </w:r>
      <w:r w:rsidR="001F18DD">
        <w:rPr>
          <w:rStyle w:val="FootnoteReference"/>
          <w:rFonts w:ascii="Times New Roman" w:eastAsia="Times New Roman" w:hAnsi="Times New Roman" w:cs="Times New Roman"/>
          <w:kern w:val="0"/>
          <w14:ligatures w14:val="none"/>
        </w:rPr>
        <w:footnoteReference w:id="51"/>
      </w:r>
    </w:p>
    <w:p w14:paraId="6E79E894" w14:textId="6F1ADB1F" w:rsidR="00764D69" w:rsidRDefault="009626F4" w:rsidP="00421276">
      <w:pPr>
        <w:spacing w:before="100" w:beforeAutospacing="1" w:after="100" w:afterAutospacing="1" w:line="240" w:lineRule="auto"/>
        <w:rPr>
          <w:rFonts w:ascii="Times New Roman" w:eastAsia="Times New Roman" w:hAnsi="Times New Roman" w:cs="Times New Roman"/>
          <w:kern w:val="0"/>
          <w14:ligatures w14:val="none"/>
        </w:rPr>
      </w:pPr>
      <w:r w:rsidRPr="00421276">
        <w:rPr>
          <w:rFonts w:ascii="Times New Roman" w:eastAsia="Times New Roman" w:hAnsi="Times New Roman" w:cs="Times New Roman"/>
          <w:kern w:val="0"/>
          <w14:ligatures w14:val="none"/>
        </w:rPr>
        <w:t xml:space="preserve">The tension between </w:t>
      </w:r>
      <w:r w:rsidRPr="00421276">
        <w:rPr>
          <w:rFonts w:ascii="Times New Roman" w:eastAsia="Times New Roman" w:hAnsi="Times New Roman" w:cs="Times New Roman"/>
          <w:i/>
          <w:iCs/>
          <w:kern w:val="0"/>
          <w14:ligatures w14:val="none"/>
        </w:rPr>
        <w:t>Atari</w:t>
      </w:r>
      <w:r w:rsidRPr="00421276">
        <w:rPr>
          <w:rFonts w:ascii="Times New Roman" w:eastAsia="Times New Roman" w:hAnsi="Times New Roman" w:cs="Times New Roman"/>
          <w:kern w:val="0"/>
          <w14:ligatures w14:val="none"/>
        </w:rPr>
        <w:t xml:space="preserve"> and </w:t>
      </w:r>
      <w:r w:rsidRPr="00421276">
        <w:rPr>
          <w:rFonts w:ascii="Times New Roman" w:eastAsia="Times New Roman" w:hAnsi="Times New Roman" w:cs="Times New Roman"/>
          <w:i/>
          <w:iCs/>
          <w:kern w:val="0"/>
          <w14:ligatures w14:val="none"/>
        </w:rPr>
        <w:t>Apple</w:t>
      </w:r>
      <w:r w:rsidRPr="00421276">
        <w:rPr>
          <w:rFonts w:ascii="Times New Roman" w:eastAsia="Times New Roman" w:hAnsi="Times New Roman" w:cs="Times New Roman"/>
          <w:kern w:val="0"/>
          <w14:ligatures w14:val="none"/>
        </w:rPr>
        <w:t xml:space="preserve"> foreshadowed many of today’s disputes over AI-generated outputs. If a system creates works that resemble a human artist’s “look and feel,” how close is too close? Does similarity of </w:t>
      </w:r>
      <w:r w:rsidR="00187282">
        <w:rPr>
          <w:rFonts w:ascii="Times New Roman" w:eastAsia="Times New Roman" w:hAnsi="Times New Roman" w:cs="Times New Roman"/>
          <w:kern w:val="0"/>
          <w14:ligatures w14:val="none"/>
        </w:rPr>
        <w:t xml:space="preserve">“style” or </w:t>
      </w:r>
      <w:r w:rsidRPr="00421276">
        <w:rPr>
          <w:rFonts w:ascii="Times New Roman" w:eastAsia="Times New Roman" w:hAnsi="Times New Roman" w:cs="Times New Roman"/>
          <w:kern w:val="0"/>
          <w14:ligatures w14:val="none"/>
        </w:rPr>
        <w:t>“vibe” constitute appropriation, or merely participation in a shared aesthetic? Copyright, which has long distinguished between inspiration and duplication, offers both the vocabulary and the cautionary history for those questions.</w:t>
      </w:r>
    </w:p>
    <w:p w14:paraId="2D7EEB41" w14:textId="398EE6E5" w:rsidR="004051E7" w:rsidRPr="00421276" w:rsidRDefault="004051E7" w:rsidP="00421276">
      <w:pPr>
        <w:spacing w:before="100" w:beforeAutospacing="1" w:after="100" w:afterAutospacing="1" w:line="240" w:lineRule="auto"/>
        <w:rPr>
          <w:rFonts w:ascii="Times New Roman" w:eastAsia="Times New Roman" w:hAnsi="Times New Roman" w:cs="Times New Roman"/>
          <w:kern w:val="0"/>
          <w14:ligatures w14:val="none"/>
        </w:rPr>
      </w:pPr>
      <w:r w:rsidRPr="004051E7">
        <w:rPr>
          <w:rFonts w:ascii="Times New Roman" w:eastAsia="Times New Roman" w:hAnsi="Times New Roman" w:cs="Times New Roman"/>
          <w:kern w:val="0"/>
          <w14:ligatures w14:val="none"/>
        </w:rPr>
        <w:t xml:space="preserve">That same struggle—between the mechanical and the expressive—recurs throughout copyright’s history. It is what distinguishes the artistry of a van Gogh, whose brushstrokes and colors embody unmistakable personal </w:t>
      </w:r>
      <w:r w:rsidR="00A16285">
        <w:rPr>
          <w:rFonts w:ascii="Times New Roman" w:eastAsia="Times New Roman" w:hAnsi="Times New Roman" w:cs="Times New Roman"/>
          <w:kern w:val="0"/>
          <w14:ligatures w14:val="none"/>
        </w:rPr>
        <w:t>e</w:t>
      </w:r>
      <w:r w:rsidRPr="004051E7">
        <w:rPr>
          <w:rFonts w:ascii="Times New Roman" w:eastAsia="Times New Roman" w:hAnsi="Times New Roman" w:cs="Times New Roman"/>
          <w:kern w:val="0"/>
          <w14:ligatures w14:val="none"/>
        </w:rPr>
        <w:t xml:space="preserve">xpression, from the mechanical reproduction of his works or the unoriginal compilation of facts. </w:t>
      </w:r>
      <w:r w:rsidR="002772E5">
        <w:rPr>
          <w:rFonts w:ascii="Times New Roman" w:eastAsia="Times New Roman" w:hAnsi="Times New Roman" w:cs="Times New Roman"/>
          <w:kern w:val="0"/>
          <w14:ligatures w14:val="none"/>
        </w:rPr>
        <w:t>T</w:t>
      </w:r>
      <w:r w:rsidRPr="004051E7">
        <w:rPr>
          <w:rFonts w:ascii="Times New Roman" w:eastAsia="Times New Roman" w:hAnsi="Times New Roman" w:cs="Times New Roman"/>
          <w:kern w:val="0"/>
          <w14:ligatures w14:val="none"/>
        </w:rPr>
        <w:t xml:space="preserve">he Supreme Court’s rejection of the “sweat of the brow” doctrine in </w:t>
      </w:r>
      <w:r w:rsidRPr="00A16285">
        <w:rPr>
          <w:rFonts w:ascii="Times New Roman" w:eastAsia="Times New Roman" w:hAnsi="Times New Roman" w:cs="Times New Roman"/>
          <w:i/>
          <w:iCs/>
          <w:kern w:val="0"/>
          <w14:ligatures w14:val="none"/>
        </w:rPr>
        <w:t>Feist</w:t>
      </w:r>
      <w:r w:rsidRPr="004051E7">
        <w:rPr>
          <w:rFonts w:ascii="Times New Roman" w:eastAsia="Times New Roman" w:hAnsi="Times New Roman" w:cs="Times New Roman"/>
          <w:kern w:val="0"/>
          <w14:ligatures w14:val="none"/>
        </w:rPr>
        <w:t xml:space="preserve"> did not devalue effort but reaffirmed that copyright rewards creativity, not industriousness for its own sake</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52"/>
      </w:r>
      <w:r w:rsidRPr="004051E7">
        <w:rPr>
          <w:rFonts w:ascii="Times New Roman" w:eastAsia="Times New Roman" w:hAnsi="Times New Roman" w:cs="Times New Roman"/>
          <w:kern w:val="0"/>
          <w14:ligatures w14:val="none"/>
        </w:rPr>
        <w:t xml:space="preserve"> That principle continues to guide courts as they confront technologies, like artificial intelligence, that </w:t>
      </w:r>
      <w:r w:rsidR="008D6381">
        <w:rPr>
          <w:rFonts w:ascii="Times New Roman" w:eastAsia="Times New Roman" w:hAnsi="Times New Roman" w:cs="Times New Roman"/>
          <w:kern w:val="0"/>
          <w14:ligatures w14:val="none"/>
        </w:rPr>
        <w:t>require great effort, but with varying degrees of h</w:t>
      </w:r>
      <w:r w:rsidRPr="004051E7">
        <w:rPr>
          <w:rFonts w:ascii="Times New Roman" w:eastAsia="Times New Roman" w:hAnsi="Times New Roman" w:cs="Times New Roman"/>
          <w:kern w:val="0"/>
          <w14:ligatures w14:val="none"/>
        </w:rPr>
        <w:t>uman authorship.</w:t>
      </w:r>
    </w:p>
    <w:p w14:paraId="6B06A0C0" w14:textId="21D59DC3" w:rsidR="009626F4" w:rsidRDefault="009626F4" w:rsidP="00BE70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 w:name="_Toc220693048"/>
      <w:r w:rsidRPr="00421276">
        <w:rPr>
          <w:rFonts w:ascii="Times New Roman" w:eastAsia="Times New Roman" w:hAnsi="Times New Roman" w:cs="Times New Roman"/>
          <w:b/>
          <w:bCs/>
          <w:kern w:val="0"/>
          <w:sz w:val="27"/>
          <w:szCs w:val="27"/>
          <w14:ligatures w14:val="none"/>
        </w:rPr>
        <w:t xml:space="preserve">B. </w:t>
      </w:r>
      <w:r w:rsidR="005F1CF0">
        <w:rPr>
          <w:rFonts w:ascii="Times New Roman" w:eastAsia="Times New Roman" w:hAnsi="Times New Roman" w:cs="Times New Roman"/>
          <w:b/>
          <w:bCs/>
          <w:kern w:val="0"/>
          <w:sz w:val="27"/>
          <w:szCs w:val="27"/>
          <w14:ligatures w14:val="none"/>
        </w:rPr>
        <w:t xml:space="preserve">The Problem of Stylistic Appropriation: Marvin Gaye’s </w:t>
      </w:r>
      <w:r w:rsidRPr="00421276">
        <w:rPr>
          <w:rFonts w:ascii="Times New Roman" w:eastAsia="Times New Roman" w:hAnsi="Times New Roman" w:cs="Times New Roman"/>
          <w:b/>
          <w:bCs/>
          <w:kern w:val="0"/>
          <w:sz w:val="27"/>
          <w:szCs w:val="27"/>
          <w14:ligatures w14:val="none"/>
        </w:rPr>
        <w:t>“Vibe”</w:t>
      </w:r>
      <w:bookmarkEnd w:id="19"/>
    </w:p>
    <w:p w14:paraId="4D24E5F2" w14:textId="3920E822" w:rsidR="00F263E3" w:rsidRPr="00AD048A" w:rsidRDefault="009E60E8" w:rsidP="00BE707A">
      <w:pPr>
        <w:rPr>
          <w:rFonts w:ascii="Times New Roman" w:hAnsi="Times New Roman" w:cs="Times New Roman"/>
        </w:rPr>
      </w:pPr>
      <w:r w:rsidRPr="00AD048A">
        <w:rPr>
          <w:rFonts w:ascii="Times New Roman" w:hAnsi="Times New Roman" w:cs="Times New Roman"/>
        </w:rPr>
        <w:t xml:space="preserve">The idea–expression </w:t>
      </w:r>
      <w:r w:rsidR="002772E5">
        <w:rPr>
          <w:rFonts w:ascii="Times New Roman" w:hAnsi="Times New Roman" w:cs="Times New Roman"/>
        </w:rPr>
        <w:t xml:space="preserve">dichotomy </w:t>
      </w:r>
      <w:r w:rsidRPr="00AD048A">
        <w:rPr>
          <w:rFonts w:ascii="Times New Roman" w:hAnsi="Times New Roman" w:cs="Times New Roman"/>
        </w:rPr>
        <w:t xml:space="preserve">and </w:t>
      </w:r>
      <w:r w:rsidR="002772E5">
        <w:rPr>
          <w:rFonts w:ascii="Times New Roman" w:hAnsi="Times New Roman" w:cs="Times New Roman"/>
        </w:rPr>
        <w:t xml:space="preserve">the </w:t>
      </w:r>
      <w:r w:rsidRPr="00AD048A">
        <w:rPr>
          <w:rFonts w:ascii="Times New Roman" w:hAnsi="Times New Roman" w:cs="Times New Roman"/>
        </w:rPr>
        <w:t xml:space="preserve">substantial-similarity doctrine intersect sharply in music, where melody, harmony, rhythm, and timbre all blur into shared conventions. Two recent cases </w:t>
      </w:r>
      <w:r w:rsidRPr="00AD048A">
        <w:rPr>
          <w:rFonts w:ascii="Times New Roman" w:hAnsi="Times New Roman" w:cs="Times New Roman"/>
        </w:rPr>
        <w:lastRenderedPageBreak/>
        <w:t xml:space="preserve">involving the music of Marvin Gaye illustrate how elusive that boundary remains—and how much </w:t>
      </w:r>
      <w:r w:rsidR="008D6381">
        <w:rPr>
          <w:rFonts w:ascii="Times New Roman" w:hAnsi="Times New Roman" w:cs="Times New Roman"/>
        </w:rPr>
        <w:t xml:space="preserve">it may </w:t>
      </w:r>
      <w:r w:rsidRPr="00AD048A">
        <w:rPr>
          <w:rFonts w:ascii="Times New Roman" w:hAnsi="Times New Roman" w:cs="Times New Roman"/>
        </w:rPr>
        <w:t>turn on a jury’s intuition of “feel.”</w:t>
      </w:r>
    </w:p>
    <w:p w14:paraId="6E825671" w14:textId="11B4B1C2" w:rsidR="00BE707A" w:rsidRPr="00471F41" w:rsidRDefault="009E60E8" w:rsidP="00AD4760">
      <w:pPr>
        <w:pStyle w:val="Heading4"/>
        <w:rPr>
          <w:rFonts w:ascii="Times New Roman" w:eastAsia="Times New Roman" w:hAnsi="Times New Roman" w:cs="Times New Roman"/>
          <w:i w:val="0"/>
          <w:iCs w:val="0"/>
          <w:sz w:val="27"/>
          <w:szCs w:val="27"/>
        </w:rPr>
      </w:pPr>
      <w:bookmarkStart w:id="20" w:name="_Toc220693049"/>
      <w:r w:rsidRPr="00471F41">
        <w:rPr>
          <w:rFonts w:ascii="Times New Roman" w:eastAsia="Times New Roman" w:hAnsi="Times New Roman" w:cs="Times New Roman"/>
          <w:i w:val="0"/>
          <w:iCs w:val="0"/>
        </w:rPr>
        <w:t xml:space="preserve">1. The </w:t>
      </w:r>
      <w:r w:rsidRPr="00471F41">
        <w:rPr>
          <w:rFonts w:ascii="Times New Roman" w:eastAsia="Times New Roman" w:hAnsi="Times New Roman" w:cs="Times New Roman"/>
        </w:rPr>
        <w:t>Williams v. Gaye</w:t>
      </w:r>
      <w:r w:rsidRPr="00471F41">
        <w:rPr>
          <w:rFonts w:ascii="Times New Roman" w:eastAsia="Times New Roman" w:hAnsi="Times New Roman" w:cs="Times New Roman"/>
          <w:i w:val="0"/>
          <w:iCs w:val="0"/>
        </w:rPr>
        <w:t xml:space="preserve"> “Blurred Lines” </w:t>
      </w:r>
      <w:r w:rsidR="00187282" w:rsidRPr="00471F41">
        <w:rPr>
          <w:rFonts w:ascii="Times New Roman" w:eastAsia="Times New Roman" w:hAnsi="Times New Roman" w:cs="Times New Roman"/>
          <w:i w:val="0"/>
          <w:iCs w:val="0"/>
        </w:rPr>
        <w:t>case</w:t>
      </w:r>
      <w:bookmarkEnd w:id="20"/>
    </w:p>
    <w:p w14:paraId="119D8C49" w14:textId="20AF7630" w:rsidR="00C06794" w:rsidRDefault="009E60E8" w:rsidP="002322AD">
      <w:pPr>
        <w:spacing w:before="100" w:beforeAutospacing="1" w:after="100" w:afterAutospacing="1" w:line="240" w:lineRule="auto"/>
        <w:rPr>
          <w:rFonts w:ascii="Times New Roman" w:hAnsi="Times New Roman" w:cs="Times New Roman"/>
        </w:rPr>
      </w:pPr>
      <w:r w:rsidRPr="00AD048A">
        <w:rPr>
          <w:rFonts w:ascii="Times New Roman" w:hAnsi="Times New Roman" w:cs="Times New Roman"/>
        </w:rPr>
        <w:t xml:space="preserve">In </w:t>
      </w:r>
      <w:r w:rsidRPr="00187282">
        <w:rPr>
          <w:rFonts w:ascii="Times New Roman" w:hAnsi="Times New Roman" w:cs="Times New Roman"/>
          <w:i/>
          <w:iCs/>
        </w:rPr>
        <w:t>Williams v. Gaye</w:t>
      </w:r>
      <w:r w:rsidRPr="00AD048A">
        <w:rPr>
          <w:rFonts w:ascii="Times New Roman" w:hAnsi="Times New Roman" w:cs="Times New Roman"/>
        </w:rPr>
        <w:t xml:space="preserve">, the Ninth Circuit upheld a jury verdict finding that Robin Thicke and Pharrell Williams’s </w:t>
      </w:r>
      <w:r w:rsidR="00471F41">
        <w:rPr>
          <w:rFonts w:ascii="Times New Roman" w:hAnsi="Times New Roman" w:cs="Times New Roman"/>
        </w:rPr>
        <w:t>“</w:t>
      </w:r>
      <w:r w:rsidRPr="00471F41">
        <w:rPr>
          <w:rFonts w:ascii="Times New Roman" w:hAnsi="Times New Roman" w:cs="Times New Roman"/>
        </w:rPr>
        <w:t>Blurred Lines</w:t>
      </w:r>
      <w:r w:rsidR="00471F41">
        <w:rPr>
          <w:rFonts w:ascii="Times New Roman" w:hAnsi="Times New Roman" w:cs="Times New Roman"/>
        </w:rPr>
        <w:t>”</w:t>
      </w:r>
      <w:r w:rsidRPr="00AD048A">
        <w:rPr>
          <w:rFonts w:ascii="Times New Roman" w:hAnsi="Times New Roman" w:cs="Times New Roman"/>
        </w:rPr>
        <w:t xml:space="preserve"> infringed Gaye’s </w:t>
      </w:r>
      <w:r w:rsidR="00471F41">
        <w:rPr>
          <w:rFonts w:ascii="Times New Roman" w:hAnsi="Times New Roman" w:cs="Times New Roman"/>
        </w:rPr>
        <w:t>“</w:t>
      </w:r>
      <w:r w:rsidRPr="00471F41">
        <w:rPr>
          <w:rFonts w:ascii="Times New Roman" w:hAnsi="Times New Roman" w:cs="Times New Roman"/>
        </w:rPr>
        <w:t>Got to Give It Up</w:t>
      </w:r>
      <w:r w:rsidRPr="00AD048A">
        <w:rPr>
          <w:rFonts w:ascii="Times New Roman" w:hAnsi="Times New Roman" w:cs="Times New Roman"/>
        </w:rPr>
        <w:t>.</w:t>
      </w:r>
      <w:r w:rsidR="00471F41">
        <w:rPr>
          <w:rFonts w:ascii="Times New Roman" w:hAnsi="Times New Roman" w:cs="Times New Roman"/>
        </w:rPr>
        <w:t>”</w:t>
      </w:r>
      <w:r w:rsidRPr="00BC1105">
        <w:rPr>
          <w:rFonts w:ascii="Times New Roman" w:hAnsi="Times New Roman" w:cs="Times New Roman"/>
          <w:vertAlign w:val="superscript"/>
        </w:rPr>
        <w:footnoteReference w:id="53"/>
      </w:r>
      <w:r w:rsidRPr="00AD048A">
        <w:rPr>
          <w:rFonts w:ascii="Times New Roman" w:hAnsi="Times New Roman" w:cs="Times New Roman"/>
        </w:rPr>
        <w:t xml:space="preserve"> </w:t>
      </w:r>
      <w:r w:rsidR="008413C7">
        <w:rPr>
          <w:rFonts w:ascii="Times New Roman" w:hAnsi="Times New Roman" w:cs="Times New Roman"/>
        </w:rPr>
        <w:t xml:space="preserve">In a very </w:t>
      </w:r>
      <w:r w:rsidR="003B2C76">
        <w:rPr>
          <w:rFonts w:ascii="Times New Roman" w:hAnsi="Times New Roman" w:cs="Times New Roman"/>
        </w:rPr>
        <w:t>high-profile</w:t>
      </w:r>
      <w:r w:rsidR="008413C7">
        <w:rPr>
          <w:rFonts w:ascii="Times New Roman" w:hAnsi="Times New Roman" w:cs="Times New Roman"/>
        </w:rPr>
        <w:t xml:space="preserve"> ca</w:t>
      </w:r>
      <w:r w:rsidR="003B2C76">
        <w:rPr>
          <w:rFonts w:ascii="Times New Roman" w:hAnsi="Times New Roman" w:cs="Times New Roman"/>
        </w:rPr>
        <w:t>s</w:t>
      </w:r>
      <w:r w:rsidR="008413C7">
        <w:rPr>
          <w:rFonts w:ascii="Times New Roman" w:hAnsi="Times New Roman" w:cs="Times New Roman"/>
        </w:rPr>
        <w:t xml:space="preserve">e, where there did not appear to be literal copying of </w:t>
      </w:r>
      <w:r w:rsidR="003B2C76">
        <w:rPr>
          <w:rFonts w:ascii="Times New Roman" w:hAnsi="Times New Roman" w:cs="Times New Roman"/>
        </w:rPr>
        <w:t xml:space="preserve">words, melody, rhythm, bass lines, or choruses, the court rejected the defendants’ argument that </w:t>
      </w:r>
      <w:r w:rsidR="008D6381">
        <w:rPr>
          <w:rFonts w:ascii="Times New Roman" w:hAnsi="Times New Roman" w:cs="Times New Roman"/>
        </w:rPr>
        <w:t xml:space="preserve">“Got to Give It Up” </w:t>
      </w:r>
      <w:r w:rsidR="003B2C76">
        <w:rPr>
          <w:rFonts w:ascii="Times New Roman" w:hAnsi="Times New Roman" w:cs="Times New Roman"/>
        </w:rPr>
        <w:t>was entitled to only “thin” copyright protection.</w:t>
      </w:r>
      <w:r w:rsidR="003B2C76">
        <w:rPr>
          <w:rStyle w:val="FootnoteReference"/>
          <w:rFonts w:ascii="Times New Roman" w:hAnsi="Times New Roman" w:cs="Times New Roman"/>
        </w:rPr>
        <w:footnoteReference w:id="54"/>
      </w:r>
      <w:r w:rsidR="003B2C76">
        <w:rPr>
          <w:rFonts w:ascii="Times New Roman" w:hAnsi="Times New Roman" w:cs="Times New Roman"/>
        </w:rPr>
        <w:t xml:space="preserve"> Rather, the court applied the Ninth Circuit’s</w:t>
      </w:r>
      <w:r w:rsidR="002322AD">
        <w:rPr>
          <w:rFonts w:ascii="Times New Roman" w:hAnsi="Times New Roman" w:cs="Times New Roman"/>
        </w:rPr>
        <w:t xml:space="preserve"> subjective</w:t>
      </w:r>
      <w:r w:rsidR="003B2C76">
        <w:rPr>
          <w:rFonts w:ascii="Times New Roman" w:hAnsi="Times New Roman" w:cs="Times New Roman"/>
        </w:rPr>
        <w:t xml:space="preserve"> “intrinsic” tes</w:t>
      </w:r>
      <w:r w:rsidR="002322AD">
        <w:rPr>
          <w:rFonts w:ascii="Times New Roman" w:hAnsi="Times New Roman" w:cs="Times New Roman"/>
        </w:rPr>
        <w:t>t, which as</w:t>
      </w:r>
      <w:r w:rsidR="008D6381">
        <w:rPr>
          <w:rFonts w:ascii="Times New Roman" w:hAnsi="Times New Roman" w:cs="Times New Roman"/>
        </w:rPr>
        <w:t>ks</w:t>
      </w:r>
      <w:r w:rsidR="003B2C76">
        <w:rPr>
          <w:rFonts w:ascii="Times New Roman" w:hAnsi="Times New Roman" w:cs="Times New Roman"/>
        </w:rPr>
        <w:t xml:space="preserve"> the jury </w:t>
      </w:r>
      <w:r w:rsidR="002322AD">
        <w:rPr>
          <w:rFonts w:ascii="Times New Roman" w:hAnsi="Times New Roman" w:cs="Times New Roman"/>
        </w:rPr>
        <w:t xml:space="preserve">“whether </w:t>
      </w:r>
      <w:r w:rsidR="002322AD" w:rsidRPr="002322AD">
        <w:rPr>
          <w:rFonts w:ascii="Times New Roman" w:hAnsi="Times New Roman" w:cs="Times New Roman"/>
        </w:rPr>
        <w:t>the ordinary, reasonable person would find the total</w:t>
      </w:r>
      <w:r w:rsidR="002322AD">
        <w:rPr>
          <w:rFonts w:ascii="Times New Roman" w:hAnsi="Times New Roman" w:cs="Times New Roman"/>
        </w:rPr>
        <w:t xml:space="preserve"> </w:t>
      </w:r>
      <w:r w:rsidR="002322AD" w:rsidRPr="002322AD">
        <w:rPr>
          <w:rFonts w:ascii="Times New Roman" w:hAnsi="Times New Roman" w:cs="Times New Roman"/>
        </w:rPr>
        <w:t>concept and feel of the works to be substantially similar</w:t>
      </w:r>
      <w:r w:rsidRPr="008413C7">
        <w:rPr>
          <w:rFonts w:ascii="Times New Roman" w:hAnsi="Times New Roman" w:cs="Times New Roman"/>
        </w:rPr>
        <w:t>.</w:t>
      </w:r>
      <w:r w:rsidR="002322AD">
        <w:rPr>
          <w:rFonts w:ascii="Times New Roman" w:hAnsi="Times New Roman" w:cs="Times New Roman"/>
        </w:rPr>
        <w:t>”</w:t>
      </w:r>
      <w:r w:rsidRPr="008413C7">
        <w:rPr>
          <w:rFonts w:ascii="Times New Roman" w:hAnsi="Times New Roman" w:cs="Times New Roman"/>
          <w:vertAlign w:val="superscript"/>
        </w:rPr>
        <w:footnoteReference w:id="55"/>
      </w:r>
      <w:r w:rsidRPr="008413C7">
        <w:rPr>
          <w:rFonts w:ascii="Times New Roman" w:hAnsi="Times New Roman" w:cs="Times New Roman"/>
          <w:vertAlign w:val="superscript"/>
        </w:rPr>
        <w:t xml:space="preserve"> </w:t>
      </w:r>
      <w:r w:rsidR="00C06794">
        <w:rPr>
          <w:rFonts w:ascii="Times New Roman" w:hAnsi="Times New Roman" w:cs="Times New Roman"/>
        </w:rPr>
        <w:t xml:space="preserve">The dissenting opinion in this case well </w:t>
      </w:r>
      <w:r w:rsidR="002E3018">
        <w:rPr>
          <w:rFonts w:ascii="Times New Roman" w:hAnsi="Times New Roman" w:cs="Times New Roman"/>
        </w:rPr>
        <w:t>predicted and summarized</w:t>
      </w:r>
      <w:r w:rsidR="00C06794">
        <w:rPr>
          <w:rFonts w:ascii="Times New Roman" w:hAnsi="Times New Roman" w:cs="Times New Roman"/>
        </w:rPr>
        <w:t xml:space="preserve"> most of the criticism that has followed this decision:</w:t>
      </w:r>
    </w:p>
    <w:p w14:paraId="100134AE" w14:textId="194EB1F5" w:rsidR="00C06794" w:rsidRPr="00350770" w:rsidRDefault="009F308E" w:rsidP="00C06794">
      <w:pPr>
        <w:spacing w:before="100" w:beforeAutospacing="1" w:after="100" w:afterAutospacing="1" w:line="240" w:lineRule="auto"/>
        <w:ind w:left="720"/>
        <w:rPr>
          <w:rFonts w:ascii="Times New Roman" w:hAnsi="Times New Roman" w:cs="Times New Roman"/>
        </w:rPr>
      </w:pPr>
      <w:r w:rsidRPr="008413C7">
        <w:rPr>
          <w:rFonts w:ascii="Times New Roman" w:hAnsi="Times New Roman" w:cs="Times New Roman"/>
        </w:rPr>
        <w:t xml:space="preserve">The majority allows the Gayes to accomplish what no one has before: copyright a musical style. “Blurred Lines” and “Got to Give It Up” are not objectively similar. They differ in melody, harmony, and rhythm. Yet by refusing to compare the two works, the majority establishes a dangerous precedent that strikes a devastating blow to future </w:t>
      </w:r>
      <w:r w:rsidRPr="00350770">
        <w:rPr>
          <w:rFonts w:ascii="Times New Roman" w:hAnsi="Times New Roman" w:cs="Times New Roman"/>
        </w:rPr>
        <w:t>musicians and composers</w:t>
      </w:r>
      <w:r w:rsidR="008413C7" w:rsidRPr="00350770">
        <w:rPr>
          <w:rFonts w:ascii="Times New Roman" w:hAnsi="Times New Roman" w:cs="Times New Roman"/>
        </w:rPr>
        <w:t xml:space="preserve"> </w:t>
      </w:r>
      <w:r w:rsidRPr="00350770">
        <w:rPr>
          <w:rFonts w:ascii="Times New Roman" w:hAnsi="Times New Roman" w:cs="Times New Roman"/>
        </w:rPr>
        <w:t>everywhere.</w:t>
      </w:r>
      <w:r w:rsidR="00C06794" w:rsidRPr="00350770">
        <w:rPr>
          <w:rStyle w:val="FootnoteReference"/>
          <w:rFonts w:ascii="Times New Roman" w:hAnsi="Times New Roman" w:cs="Times New Roman"/>
        </w:rPr>
        <w:footnoteReference w:id="56"/>
      </w:r>
      <w:r w:rsidR="008413C7" w:rsidRPr="00350770">
        <w:rPr>
          <w:rFonts w:ascii="Times New Roman" w:hAnsi="Times New Roman" w:cs="Times New Roman"/>
        </w:rPr>
        <w:t xml:space="preserve"> </w:t>
      </w:r>
    </w:p>
    <w:p w14:paraId="0B2D6BDA" w14:textId="5C142815" w:rsidR="00BE707A" w:rsidRPr="00350770" w:rsidRDefault="009E60E8" w:rsidP="00AD4760">
      <w:pPr>
        <w:pStyle w:val="Heading4"/>
        <w:rPr>
          <w:rFonts w:ascii="Times New Roman" w:eastAsia="Times New Roman" w:hAnsi="Times New Roman" w:cs="Times New Roman"/>
          <w:i w:val="0"/>
          <w:iCs w:val="0"/>
          <w:sz w:val="27"/>
          <w:szCs w:val="27"/>
        </w:rPr>
      </w:pPr>
      <w:bookmarkStart w:id="21" w:name="_Toc220693050"/>
      <w:r w:rsidRPr="00350770">
        <w:rPr>
          <w:rFonts w:ascii="Times New Roman" w:eastAsia="Times New Roman" w:hAnsi="Times New Roman" w:cs="Times New Roman"/>
          <w:i w:val="0"/>
          <w:iCs w:val="0"/>
        </w:rPr>
        <w:t xml:space="preserve">2. The </w:t>
      </w:r>
      <w:r w:rsidRPr="00350770">
        <w:rPr>
          <w:rFonts w:ascii="Times New Roman" w:eastAsia="Times New Roman" w:hAnsi="Times New Roman" w:cs="Times New Roman"/>
        </w:rPr>
        <w:t>Sheeran v. Townsend</w:t>
      </w:r>
      <w:r w:rsidRPr="00350770">
        <w:rPr>
          <w:rFonts w:ascii="Times New Roman" w:eastAsia="Times New Roman" w:hAnsi="Times New Roman" w:cs="Times New Roman"/>
          <w:i w:val="0"/>
          <w:iCs w:val="0"/>
        </w:rPr>
        <w:t xml:space="preserve"> contrast</w:t>
      </w:r>
      <w:bookmarkEnd w:id="21"/>
    </w:p>
    <w:p w14:paraId="7A9C3B4A" w14:textId="2238F29D" w:rsidR="009E60E8" w:rsidRDefault="009E60E8" w:rsidP="00DE6F8E">
      <w:pPr>
        <w:spacing w:before="100" w:beforeAutospacing="1" w:after="100" w:afterAutospacing="1" w:line="240" w:lineRule="auto"/>
        <w:rPr>
          <w:rFonts w:ascii="Times New Roman" w:hAnsi="Times New Roman" w:cs="Times New Roman"/>
        </w:rPr>
      </w:pPr>
      <w:r w:rsidRPr="00350770">
        <w:rPr>
          <w:rFonts w:ascii="Times New Roman" w:hAnsi="Times New Roman" w:cs="Times New Roman"/>
        </w:rPr>
        <w:t xml:space="preserve">Nearly a decade later, </w:t>
      </w:r>
      <w:r w:rsidRPr="00350770">
        <w:rPr>
          <w:rFonts w:ascii="Times New Roman" w:hAnsi="Times New Roman" w:cs="Times New Roman"/>
          <w:i/>
          <w:iCs/>
        </w:rPr>
        <w:t>Sheeran v. Townsend</w:t>
      </w:r>
      <w:r w:rsidRPr="00350770">
        <w:rPr>
          <w:rFonts w:ascii="Times New Roman" w:hAnsi="Times New Roman" w:cs="Times New Roman"/>
        </w:rPr>
        <w:t xml:space="preserve"> reached the opposite conclusion on strikingly similar facts.</w:t>
      </w:r>
      <w:r w:rsidRPr="00350770">
        <w:rPr>
          <w:rFonts w:ascii="Times New Roman" w:hAnsi="Times New Roman" w:cs="Times New Roman"/>
          <w:vertAlign w:val="superscript"/>
        </w:rPr>
        <w:footnoteReference w:id="57"/>
      </w:r>
      <w:r w:rsidRPr="00350770">
        <w:rPr>
          <w:rFonts w:ascii="Times New Roman" w:hAnsi="Times New Roman" w:cs="Times New Roman"/>
          <w:vertAlign w:val="superscript"/>
        </w:rPr>
        <w:t xml:space="preserve"> </w:t>
      </w:r>
      <w:r w:rsidRPr="00350770">
        <w:rPr>
          <w:rFonts w:ascii="Times New Roman" w:hAnsi="Times New Roman" w:cs="Times New Roman"/>
        </w:rPr>
        <w:t xml:space="preserve">The heirs of Ed Townsend, co-writer of Gaye’s </w:t>
      </w:r>
      <w:r w:rsidR="00471F41" w:rsidRPr="00350770">
        <w:rPr>
          <w:rFonts w:ascii="Times New Roman" w:hAnsi="Times New Roman" w:cs="Times New Roman"/>
        </w:rPr>
        <w:t>“</w:t>
      </w:r>
      <w:r w:rsidRPr="00350770">
        <w:rPr>
          <w:rFonts w:ascii="Times New Roman" w:hAnsi="Times New Roman" w:cs="Times New Roman"/>
        </w:rPr>
        <w:t>Let’s Get It On,</w:t>
      </w:r>
      <w:r w:rsidR="00471F41" w:rsidRPr="00350770">
        <w:rPr>
          <w:rFonts w:ascii="Times New Roman" w:hAnsi="Times New Roman" w:cs="Times New Roman"/>
        </w:rPr>
        <w:t>”</w:t>
      </w:r>
      <w:r w:rsidRPr="00350770">
        <w:rPr>
          <w:rFonts w:ascii="Times New Roman" w:hAnsi="Times New Roman" w:cs="Times New Roman"/>
        </w:rPr>
        <w:t xml:space="preserve"> alleged that Ed Sheeran’s </w:t>
      </w:r>
      <w:r w:rsidR="00471F41" w:rsidRPr="00350770">
        <w:rPr>
          <w:rFonts w:ascii="Times New Roman" w:hAnsi="Times New Roman" w:cs="Times New Roman"/>
        </w:rPr>
        <w:t>“</w:t>
      </w:r>
      <w:r w:rsidRPr="00350770">
        <w:rPr>
          <w:rFonts w:ascii="Times New Roman" w:hAnsi="Times New Roman" w:cs="Times New Roman"/>
        </w:rPr>
        <w:t>Thinking Out Loud</w:t>
      </w:r>
      <w:r w:rsidR="00471F41" w:rsidRPr="00350770">
        <w:rPr>
          <w:rFonts w:ascii="Times New Roman" w:hAnsi="Times New Roman" w:cs="Times New Roman"/>
        </w:rPr>
        <w:t>”</w:t>
      </w:r>
      <w:r w:rsidRPr="00350770">
        <w:rPr>
          <w:rFonts w:ascii="Times New Roman" w:hAnsi="Times New Roman" w:cs="Times New Roman"/>
        </w:rPr>
        <w:t xml:space="preserve"> copied the earlier song’s chord progression and harmonic</w:t>
      </w:r>
      <w:r w:rsidRPr="00AD048A">
        <w:rPr>
          <w:rFonts w:ascii="Times New Roman" w:hAnsi="Times New Roman" w:cs="Times New Roman"/>
        </w:rPr>
        <w:t xml:space="preserve"> rhythm.</w:t>
      </w:r>
      <w:r w:rsidRPr="00BC1105">
        <w:rPr>
          <w:rFonts w:ascii="Times New Roman" w:hAnsi="Times New Roman" w:cs="Times New Roman"/>
          <w:vertAlign w:val="superscript"/>
        </w:rPr>
        <w:footnoteReference w:id="58"/>
      </w:r>
      <w:r w:rsidRPr="00AD048A">
        <w:rPr>
          <w:rFonts w:ascii="Times New Roman" w:hAnsi="Times New Roman" w:cs="Times New Roman"/>
        </w:rPr>
        <w:t xml:space="preserve"> Sheeran vigorously </w:t>
      </w:r>
      <w:r w:rsidR="002E3018">
        <w:rPr>
          <w:rFonts w:ascii="Times New Roman" w:hAnsi="Times New Roman" w:cs="Times New Roman"/>
        </w:rPr>
        <w:t>dispu</w:t>
      </w:r>
      <w:r w:rsidRPr="00AD048A">
        <w:rPr>
          <w:rFonts w:ascii="Times New Roman" w:hAnsi="Times New Roman" w:cs="Times New Roman"/>
        </w:rPr>
        <w:t xml:space="preserve">ted the claim, </w:t>
      </w:r>
      <w:r w:rsidR="00CB6C3F">
        <w:rPr>
          <w:rFonts w:ascii="Times New Roman" w:hAnsi="Times New Roman" w:cs="Times New Roman"/>
        </w:rPr>
        <w:t xml:space="preserve">stating that </w:t>
      </w:r>
      <w:r w:rsidR="00CF0981">
        <w:rPr>
          <w:rFonts w:ascii="Times New Roman" w:hAnsi="Times New Roman" w:cs="Times New Roman"/>
        </w:rPr>
        <w:t xml:space="preserve">copyright protection cannot extend to common </w:t>
      </w:r>
      <w:r w:rsidRPr="00AD048A">
        <w:rPr>
          <w:rFonts w:ascii="Times New Roman" w:hAnsi="Times New Roman" w:cs="Times New Roman"/>
        </w:rPr>
        <w:t>I-</w:t>
      </w:r>
      <w:r w:rsidR="00905AEF">
        <w:rPr>
          <w:rFonts w:ascii="Times New Roman" w:hAnsi="Times New Roman" w:cs="Times New Roman"/>
        </w:rPr>
        <w:t>iii</w:t>
      </w:r>
      <w:r w:rsidRPr="00AD048A">
        <w:rPr>
          <w:rFonts w:ascii="Times New Roman" w:hAnsi="Times New Roman" w:cs="Times New Roman"/>
        </w:rPr>
        <w:t>-IV-V</w:t>
      </w:r>
      <w:r w:rsidR="00821019">
        <w:rPr>
          <w:rFonts w:ascii="Times New Roman" w:hAnsi="Times New Roman" w:cs="Times New Roman"/>
        </w:rPr>
        <w:t>(</w:t>
      </w:r>
      <w:r w:rsidR="00EB66E6">
        <w:rPr>
          <w:rFonts w:ascii="Times New Roman" w:hAnsi="Times New Roman" w:cs="Times New Roman"/>
        </w:rPr>
        <w:t>7</w:t>
      </w:r>
      <w:r w:rsidR="00821019">
        <w:rPr>
          <w:rFonts w:ascii="Times New Roman" w:hAnsi="Times New Roman" w:cs="Times New Roman"/>
        </w:rPr>
        <w:t>)</w:t>
      </w:r>
      <w:r w:rsidRPr="00AD048A">
        <w:rPr>
          <w:rFonts w:ascii="Times New Roman" w:hAnsi="Times New Roman" w:cs="Times New Roman"/>
        </w:rPr>
        <w:t xml:space="preserve"> </w:t>
      </w:r>
      <w:r w:rsidR="00905AEF">
        <w:rPr>
          <w:rFonts w:ascii="Times New Roman" w:hAnsi="Times New Roman" w:cs="Times New Roman"/>
        </w:rPr>
        <w:t xml:space="preserve">guitar chord </w:t>
      </w:r>
      <w:r w:rsidRPr="00AD048A">
        <w:rPr>
          <w:rFonts w:ascii="Times New Roman" w:hAnsi="Times New Roman" w:cs="Times New Roman"/>
        </w:rPr>
        <w:t>pattern</w:t>
      </w:r>
      <w:r w:rsidR="00CF0981">
        <w:rPr>
          <w:rFonts w:ascii="Times New Roman" w:hAnsi="Times New Roman" w:cs="Times New Roman"/>
        </w:rPr>
        <w:t>s and common harmonic rhythms.</w:t>
      </w:r>
      <w:r w:rsidR="00CF0981">
        <w:rPr>
          <w:rStyle w:val="FootnoteReference"/>
          <w:rFonts w:ascii="Times New Roman" w:hAnsi="Times New Roman" w:cs="Times New Roman"/>
        </w:rPr>
        <w:footnoteReference w:id="59"/>
      </w:r>
      <w:r w:rsidR="00CB6C3F">
        <w:rPr>
          <w:rFonts w:ascii="Times New Roman" w:hAnsi="Times New Roman" w:cs="Times New Roman"/>
        </w:rPr>
        <w:t xml:space="preserve"> </w:t>
      </w:r>
      <w:r w:rsidRPr="00AD048A">
        <w:rPr>
          <w:rFonts w:ascii="Times New Roman" w:hAnsi="Times New Roman" w:cs="Times New Roman"/>
        </w:rPr>
        <w:t xml:space="preserve">In an extraordinary courtroom demonstration, </w:t>
      </w:r>
      <w:r w:rsidR="00CF0981">
        <w:rPr>
          <w:rFonts w:ascii="Times New Roman" w:hAnsi="Times New Roman" w:cs="Times New Roman"/>
        </w:rPr>
        <w:t>Sheeran</w:t>
      </w:r>
      <w:r w:rsidRPr="00AD048A">
        <w:rPr>
          <w:rFonts w:ascii="Times New Roman" w:hAnsi="Times New Roman" w:cs="Times New Roman"/>
        </w:rPr>
        <w:t xml:space="preserve"> performed portions of nearly ninety songs—from </w:t>
      </w:r>
      <w:r w:rsidR="00CB6C3F">
        <w:rPr>
          <w:rFonts w:ascii="Times New Roman" w:hAnsi="Times New Roman" w:cs="Times New Roman"/>
        </w:rPr>
        <w:t>Bob Dylan’s “Just Like a Woman</w:t>
      </w:r>
      <w:r w:rsidR="008D6381">
        <w:rPr>
          <w:rFonts w:ascii="Times New Roman" w:hAnsi="Times New Roman" w:cs="Times New Roman"/>
        </w:rPr>
        <w:t>”</w:t>
      </w:r>
      <w:r w:rsidR="00CB6C3F" w:rsidRPr="00AD048A">
        <w:rPr>
          <w:rFonts w:ascii="Times New Roman" w:hAnsi="Times New Roman" w:cs="Times New Roman"/>
        </w:rPr>
        <w:t xml:space="preserve"> </w:t>
      </w:r>
      <w:r w:rsidRPr="00AD048A">
        <w:rPr>
          <w:rFonts w:ascii="Times New Roman" w:hAnsi="Times New Roman" w:cs="Times New Roman"/>
        </w:rPr>
        <w:t xml:space="preserve">to The Temptations’ </w:t>
      </w:r>
      <w:r w:rsidR="00471F41">
        <w:rPr>
          <w:rFonts w:ascii="Times New Roman" w:hAnsi="Times New Roman" w:cs="Times New Roman"/>
        </w:rPr>
        <w:t>“</w:t>
      </w:r>
      <w:r w:rsidRPr="00471F41">
        <w:rPr>
          <w:rFonts w:ascii="Times New Roman" w:hAnsi="Times New Roman" w:cs="Times New Roman"/>
        </w:rPr>
        <w:t>My Girl</w:t>
      </w:r>
      <w:r w:rsidR="00471F41">
        <w:rPr>
          <w:rFonts w:ascii="Times New Roman" w:hAnsi="Times New Roman" w:cs="Times New Roman"/>
        </w:rPr>
        <w:t>”</w:t>
      </w:r>
      <w:r w:rsidR="00CB6C3F">
        <w:rPr>
          <w:rFonts w:ascii="Times New Roman" w:hAnsi="Times New Roman" w:cs="Times New Roman"/>
        </w:rPr>
        <w:t xml:space="preserve"> to </w:t>
      </w:r>
      <w:r w:rsidR="00CB6C3F" w:rsidRPr="00AD048A">
        <w:rPr>
          <w:rFonts w:ascii="Times New Roman" w:hAnsi="Times New Roman" w:cs="Times New Roman"/>
        </w:rPr>
        <w:t xml:space="preserve">Van Morrison’s </w:t>
      </w:r>
      <w:r w:rsidR="00CB6C3F">
        <w:rPr>
          <w:rFonts w:ascii="Times New Roman" w:hAnsi="Times New Roman" w:cs="Times New Roman"/>
        </w:rPr>
        <w:t>“Have I Told You Lately”</w:t>
      </w:r>
      <w:r w:rsidRPr="00AD048A">
        <w:rPr>
          <w:rFonts w:ascii="Times New Roman" w:hAnsi="Times New Roman" w:cs="Times New Roman"/>
        </w:rPr>
        <w:t xml:space="preserve">—to </w:t>
      </w:r>
      <w:r w:rsidR="00CF0981">
        <w:rPr>
          <w:rFonts w:ascii="Times New Roman" w:hAnsi="Times New Roman" w:cs="Times New Roman"/>
        </w:rPr>
        <w:t>illustrate</w:t>
      </w:r>
      <w:r w:rsidRPr="00AD048A">
        <w:rPr>
          <w:rFonts w:ascii="Times New Roman" w:hAnsi="Times New Roman" w:cs="Times New Roman"/>
        </w:rPr>
        <w:t xml:space="preserve"> </w:t>
      </w:r>
      <w:r w:rsidR="002E3018">
        <w:rPr>
          <w:rFonts w:ascii="Times New Roman" w:hAnsi="Times New Roman" w:cs="Times New Roman"/>
        </w:rPr>
        <w:t xml:space="preserve">just </w:t>
      </w:r>
      <w:r w:rsidRPr="00AD048A">
        <w:rPr>
          <w:rFonts w:ascii="Times New Roman" w:hAnsi="Times New Roman" w:cs="Times New Roman"/>
        </w:rPr>
        <w:t xml:space="preserve">how </w:t>
      </w:r>
      <w:r w:rsidR="002E3018">
        <w:rPr>
          <w:rFonts w:ascii="Times New Roman" w:hAnsi="Times New Roman" w:cs="Times New Roman"/>
        </w:rPr>
        <w:t>common</w:t>
      </w:r>
      <w:r w:rsidRPr="00AD048A">
        <w:rPr>
          <w:rFonts w:ascii="Times New Roman" w:hAnsi="Times New Roman" w:cs="Times New Roman"/>
        </w:rPr>
        <w:t xml:space="preserve"> those </w:t>
      </w:r>
      <w:r w:rsidR="008D6381">
        <w:rPr>
          <w:rFonts w:ascii="Times New Roman" w:hAnsi="Times New Roman" w:cs="Times New Roman"/>
        </w:rPr>
        <w:t xml:space="preserve">chord </w:t>
      </w:r>
      <w:r w:rsidRPr="00AD048A">
        <w:rPr>
          <w:rFonts w:ascii="Times New Roman" w:hAnsi="Times New Roman" w:cs="Times New Roman"/>
        </w:rPr>
        <w:t>sequences are.</w:t>
      </w:r>
      <w:r w:rsidRPr="00BC1105">
        <w:rPr>
          <w:rFonts w:ascii="Times New Roman" w:hAnsi="Times New Roman" w:cs="Times New Roman"/>
          <w:vertAlign w:val="superscript"/>
        </w:rPr>
        <w:footnoteReference w:id="60"/>
      </w:r>
      <w:r w:rsidRPr="00BC1105">
        <w:rPr>
          <w:rFonts w:ascii="Times New Roman" w:hAnsi="Times New Roman" w:cs="Times New Roman"/>
          <w:vertAlign w:val="superscript"/>
        </w:rPr>
        <w:t xml:space="preserve"> </w:t>
      </w:r>
      <w:r w:rsidRPr="00AD048A">
        <w:rPr>
          <w:rFonts w:ascii="Times New Roman" w:hAnsi="Times New Roman" w:cs="Times New Roman"/>
        </w:rPr>
        <w:t xml:space="preserve">After several </w:t>
      </w:r>
      <w:r w:rsidRPr="00AD048A">
        <w:rPr>
          <w:rFonts w:ascii="Times New Roman" w:hAnsi="Times New Roman" w:cs="Times New Roman"/>
        </w:rPr>
        <w:lastRenderedPageBreak/>
        <w:t>hours of deliberation, the jury found no infringement.</w:t>
      </w:r>
      <w:r w:rsidRPr="00BC1105">
        <w:rPr>
          <w:rFonts w:ascii="Times New Roman" w:hAnsi="Times New Roman" w:cs="Times New Roman"/>
          <w:vertAlign w:val="superscript"/>
        </w:rPr>
        <w:footnoteReference w:id="61"/>
      </w:r>
      <w:r w:rsidR="008D6381">
        <w:rPr>
          <w:rFonts w:ascii="Times New Roman" w:hAnsi="Times New Roman" w:cs="Times New Roman"/>
        </w:rPr>
        <w:t xml:space="preserve"> On Appeal, the Second Circuit </w:t>
      </w:r>
      <w:r w:rsidR="00564432">
        <w:rPr>
          <w:rFonts w:ascii="Times New Roman" w:hAnsi="Times New Roman" w:cs="Times New Roman"/>
        </w:rPr>
        <w:t xml:space="preserve">held that it was </w:t>
      </w:r>
      <w:r w:rsidR="00564432" w:rsidRPr="00564432">
        <w:rPr>
          <w:rFonts w:ascii="Times New Roman" w:hAnsi="Times New Roman" w:cs="Times New Roman"/>
        </w:rPr>
        <w:t>“an unassailable reality</w:t>
      </w:r>
      <w:r w:rsidR="00564432">
        <w:rPr>
          <w:rFonts w:ascii="Times New Roman" w:hAnsi="Times New Roman" w:cs="Times New Roman"/>
        </w:rPr>
        <w:t xml:space="preserve"> </w:t>
      </w:r>
      <w:r w:rsidR="00564432" w:rsidRPr="00564432">
        <w:rPr>
          <w:rFonts w:ascii="Times New Roman" w:hAnsi="Times New Roman" w:cs="Times New Roman"/>
        </w:rPr>
        <w:t xml:space="preserve">that the chord progression and harmonic rhythm in </w:t>
      </w:r>
      <w:r w:rsidR="00DE6F8E">
        <w:rPr>
          <w:rFonts w:ascii="Times New Roman" w:hAnsi="Times New Roman" w:cs="Times New Roman"/>
        </w:rPr>
        <w:t>‘</w:t>
      </w:r>
      <w:r w:rsidR="00564432" w:rsidRPr="00F73679">
        <w:rPr>
          <w:rFonts w:ascii="Times New Roman" w:hAnsi="Times New Roman" w:cs="Times New Roman"/>
          <w:iCs/>
        </w:rPr>
        <w:t>Let's Get It On</w:t>
      </w:r>
      <w:r w:rsidR="00DE6F8E">
        <w:rPr>
          <w:rFonts w:ascii="Times New Roman" w:hAnsi="Times New Roman" w:cs="Times New Roman"/>
          <w:iCs/>
        </w:rPr>
        <w:t>’</w:t>
      </w:r>
      <w:r w:rsidR="00564432" w:rsidRPr="00564432">
        <w:rPr>
          <w:rFonts w:ascii="Times New Roman" w:hAnsi="Times New Roman" w:cs="Times New Roman"/>
        </w:rPr>
        <w:t xml:space="preserve"> are so commonplace, in isolation and in combination,</w:t>
      </w:r>
      <w:r w:rsidR="00564432">
        <w:rPr>
          <w:rFonts w:ascii="Times New Roman" w:hAnsi="Times New Roman" w:cs="Times New Roman"/>
        </w:rPr>
        <w:t xml:space="preserve"> </w:t>
      </w:r>
      <w:r w:rsidR="00564432" w:rsidRPr="00564432">
        <w:rPr>
          <w:rFonts w:ascii="Times New Roman" w:hAnsi="Times New Roman" w:cs="Times New Roman"/>
        </w:rPr>
        <w:t xml:space="preserve">that to protect their combination would give </w:t>
      </w:r>
      <w:r w:rsidR="00DE6F8E">
        <w:rPr>
          <w:rFonts w:ascii="Times New Roman" w:hAnsi="Times New Roman" w:cs="Times New Roman"/>
        </w:rPr>
        <w:t>‘</w:t>
      </w:r>
      <w:r w:rsidR="00564432" w:rsidRPr="00F73679">
        <w:rPr>
          <w:rFonts w:ascii="Times New Roman" w:hAnsi="Times New Roman" w:cs="Times New Roman"/>
          <w:iCs/>
        </w:rPr>
        <w:t>Let's Get It On</w:t>
      </w:r>
      <w:r w:rsidR="00DE6F8E">
        <w:rPr>
          <w:rFonts w:ascii="Times New Roman" w:hAnsi="Times New Roman" w:cs="Times New Roman"/>
        </w:rPr>
        <w:t>’</w:t>
      </w:r>
      <w:r w:rsidR="00564432">
        <w:rPr>
          <w:rFonts w:ascii="Times New Roman" w:hAnsi="Times New Roman" w:cs="Times New Roman"/>
        </w:rPr>
        <w:t xml:space="preserve"> </w:t>
      </w:r>
      <w:r w:rsidR="00564432" w:rsidRPr="00564432">
        <w:rPr>
          <w:rFonts w:ascii="Times New Roman" w:hAnsi="Times New Roman" w:cs="Times New Roman"/>
        </w:rPr>
        <w:t>an impermissible monopoly over a basic musical building</w:t>
      </w:r>
      <w:r w:rsidR="00564432">
        <w:rPr>
          <w:rFonts w:ascii="Times New Roman" w:hAnsi="Times New Roman" w:cs="Times New Roman"/>
        </w:rPr>
        <w:t xml:space="preserve"> </w:t>
      </w:r>
      <w:r w:rsidR="00564432" w:rsidRPr="00564432">
        <w:rPr>
          <w:rFonts w:ascii="Times New Roman" w:hAnsi="Times New Roman" w:cs="Times New Roman"/>
        </w:rPr>
        <w:t>block.</w:t>
      </w:r>
      <w:r w:rsidR="00DE6F8E">
        <w:rPr>
          <w:rFonts w:ascii="Times New Roman" w:hAnsi="Times New Roman" w:cs="Times New Roman"/>
        </w:rPr>
        <w:t>”</w:t>
      </w:r>
      <w:r w:rsidR="00564432">
        <w:rPr>
          <w:rStyle w:val="FootnoteReference"/>
          <w:rFonts w:ascii="Times New Roman" w:hAnsi="Times New Roman" w:cs="Times New Roman"/>
        </w:rPr>
        <w:footnoteReference w:id="62"/>
      </w:r>
      <w:r w:rsidR="00DE6F8E">
        <w:rPr>
          <w:rFonts w:ascii="Times New Roman" w:hAnsi="Times New Roman" w:cs="Times New Roman"/>
        </w:rPr>
        <w:t xml:space="preserve"> The court continued, “’</w:t>
      </w:r>
      <w:r w:rsidR="00DE6F8E" w:rsidRPr="00DE6F8E">
        <w:rPr>
          <w:rFonts w:ascii="Times New Roman" w:hAnsi="Times New Roman" w:cs="Times New Roman"/>
        </w:rPr>
        <w:t xml:space="preserve">Let's Get It </w:t>
      </w:r>
      <w:proofErr w:type="spellStart"/>
      <w:r w:rsidR="00DE6F8E" w:rsidRPr="00DE6F8E">
        <w:rPr>
          <w:rFonts w:ascii="Times New Roman" w:hAnsi="Times New Roman" w:cs="Times New Roman"/>
        </w:rPr>
        <w:t>On's</w:t>
      </w:r>
      <w:proofErr w:type="spellEnd"/>
      <w:r w:rsidR="00DE6F8E">
        <w:rPr>
          <w:rFonts w:ascii="Times New Roman" w:hAnsi="Times New Roman" w:cs="Times New Roman"/>
        </w:rPr>
        <w:t>’</w:t>
      </w:r>
      <w:r w:rsidR="00DE6F8E" w:rsidRPr="00DE6F8E">
        <w:rPr>
          <w:rFonts w:ascii="Times New Roman" w:hAnsi="Times New Roman" w:cs="Times New Roman"/>
        </w:rPr>
        <w:t xml:space="preserve"> chord progression was used at least twenty</w:t>
      </w:r>
      <w:r w:rsidR="00DE6F8E">
        <w:rPr>
          <w:rFonts w:ascii="Times New Roman" w:hAnsi="Times New Roman" w:cs="Times New Roman"/>
        </w:rPr>
        <w:t>-</w:t>
      </w:r>
      <w:r w:rsidR="00DE6F8E" w:rsidRPr="00DE6F8E">
        <w:rPr>
          <w:rFonts w:ascii="Times New Roman" w:hAnsi="Times New Roman" w:cs="Times New Roman"/>
        </w:rPr>
        <w:t>nine</w:t>
      </w:r>
      <w:r w:rsidR="00DE6F8E">
        <w:rPr>
          <w:rFonts w:ascii="Times New Roman" w:hAnsi="Times New Roman" w:cs="Times New Roman"/>
        </w:rPr>
        <w:t xml:space="preserve"> </w:t>
      </w:r>
      <w:r w:rsidR="00DE6F8E" w:rsidRPr="00DE6F8E">
        <w:rPr>
          <w:rFonts w:ascii="Times New Roman" w:hAnsi="Times New Roman" w:cs="Times New Roman"/>
        </w:rPr>
        <w:t>times before appearing in “Let's Get It On” and was</w:t>
      </w:r>
      <w:r w:rsidR="00DE6F8E">
        <w:rPr>
          <w:rFonts w:ascii="Times New Roman" w:hAnsi="Times New Roman" w:cs="Times New Roman"/>
        </w:rPr>
        <w:t xml:space="preserve"> </w:t>
      </w:r>
      <w:r w:rsidR="00DE6F8E" w:rsidRPr="00DE6F8E">
        <w:rPr>
          <w:rFonts w:ascii="Times New Roman" w:hAnsi="Times New Roman" w:cs="Times New Roman"/>
        </w:rPr>
        <w:t xml:space="preserve">in another twenty-three songs before </w:t>
      </w:r>
      <w:r w:rsidR="00DE6F8E">
        <w:rPr>
          <w:rFonts w:ascii="Times New Roman" w:hAnsi="Times New Roman" w:cs="Times New Roman"/>
        </w:rPr>
        <w:t>‘</w:t>
      </w:r>
      <w:r w:rsidR="00DE6F8E" w:rsidRPr="00DE6F8E">
        <w:rPr>
          <w:rFonts w:ascii="Times New Roman" w:hAnsi="Times New Roman" w:cs="Times New Roman"/>
        </w:rPr>
        <w:t>Thinking Out Loud</w:t>
      </w:r>
      <w:r w:rsidR="00DE6F8E">
        <w:rPr>
          <w:rFonts w:ascii="Times New Roman" w:hAnsi="Times New Roman" w:cs="Times New Roman"/>
        </w:rPr>
        <w:t xml:space="preserve">’ </w:t>
      </w:r>
      <w:r w:rsidR="00DE6F8E" w:rsidRPr="00DE6F8E">
        <w:rPr>
          <w:rFonts w:ascii="Times New Roman" w:hAnsi="Times New Roman" w:cs="Times New Roman"/>
        </w:rPr>
        <w:t>was released.</w:t>
      </w:r>
      <w:r w:rsidR="00DE6F8E">
        <w:rPr>
          <w:rFonts w:ascii="Times New Roman" w:hAnsi="Times New Roman" w:cs="Times New Roman"/>
        </w:rPr>
        <w:t>”</w:t>
      </w:r>
      <w:r w:rsidR="00DE6F8E">
        <w:rPr>
          <w:rStyle w:val="FootnoteReference"/>
          <w:rFonts w:ascii="Times New Roman" w:hAnsi="Times New Roman" w:cs="Times New Roman"/>
        </w:rPr>
        <w:footnoteReference w:id="63"/>
      </w:r>
    </w:p>
    <w:p w14:paraId="3CECCDAE" w14:textId="3322F9EB" w:rsidR="00DE6F8E" w:rsidRPr="00AD048A" w:rsidRDefault="00DE6F8E" w:rsidP="00C36CA9">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The </w:t>
      </w:r>
      <w:r w:rsidR="008D6381">
        <w:rPr>
          <w:rFonts w:ascii="Times New Roman" w:hAnsi="Times New Roman" w:cs="Times New Roman"/>
        </w:rPr>
        <w:t xml:space="preserve">court </w:t>
      </w:r>
      <w:r>
        <w:rPr>
          <w:rFonts w:ascii="Times New Roman" w:hAnsi="Times New Roman" w:cs="Times New Roman"/>
        </w:rPr>
        <w:t xml:space="preserve">addressed the proposition, that under </w:t>
      </w:r>
      <w:r w:rsidRPr="002E3018">
        <w:rPr>
          <w:rFonts w:ascii="Times New Roman" w:hAnsi="Times New Roman" w:cs="Times New Roman"/>
          <w:i/>
          <w:iCs/>
        </w:rPr>
        <w:t>Feist</w:t>
      </w:r>
      <w:r>
        <w:rPr>
          <w:rFonts w:ascii="Times New Roman" w:hAnsi="Times New Roman" w:cs="Times New Roman"/>
        </w:rPr>
        <w:t>, “a work consisting of unprotectable elements may still be protectable as an original ‘selection and arrangement’ of those elements.”</w:t>
      </w:r>
      <w:r>
        <w:rPr>
          <w:rStyle w:val="FootnoteReference"/>
          <w:rFonts w:ascii="Times New Roman" w:hAnsi="Times New Roman" w:cs="Times New Roman"/>
        </w:rPr>
        <w:footnoteReference w:id="64"/>
      </w:r>
      <w:r w:rsidR="00C36CA9">
        <w:rPr>
          <w:rFonts w:ascii="Times New Roman" w:hAnsi="Times New Roman" w:cs="Times New Roman"/>
        </w:rPr>
        <w:t xml:space="preserve"> It held that this claim fails because “</w:t>
      </w:r>
      <w:r w:rsidR="00C36CA9" w:rsidRPr="00C36CA9">
        <w:rPr>
          <w:rFonts w:ascii="Times New Roman" w:hAnsi="Times New Roman" w:cs="Times New Roman"/>
        </w:rPr>
        <w:t>it risks granting a monopoly over a combination of</w:t>
      </w:r>
      <w:r w:rsidR="00C36CA9">
        <w:rPr>
          <w:rFonts w:ascii="Times New Roman" w:hAnsi="Times New Roman" w:cs="Times New Roman"/>
        </w:rPr>
        <w:t xml:space="preserve"> </w:t>
      </w:r>
      <w:r w:rsidR="00C36CA9" w:rsidRPr="00C36CA9">
        <w:rPr>
          <w:rFonts w:ascii="Times New Roman" w:hAnsi="Times New Roman" w:cs="Times New Roman"/>
        </w:rPr>
        <w:t>two fundamental musical building blocks. The four</w:t>
      </w:r>
      <w:r w:rsidR="00C36CA9">
        <w:rPr>
          <w:rFonts w:ascii="Times New Roman" w:hAnsi="Times New Roman" w:cs="Times New Roman"/>
        </w:rPr>
        <w:t>-</w:t>
      </w:r>
      <w:r w:rsidR="00C36CA9" w:rsidRPr="00C36CA9">
        <w:rPr>
          <w:rFonts w:ascii="Times New Roman" w:hAnsi="Times New Roman" w:cs="Times New Roman"/>
        </w:rPr>
        <w:t>chord</w:t>
      </w:r>
      <w:r w:rsidR="00C36CA9">
        <w:rPr>
          <w:rFonts w:ascii="Times New Roman" w:hAnsi="Times New Roman" w:cs="Times New Roman"/>
        </w:rPr>
        <w:t xml:space="preserve"> </w:t>
      </w:r>
      <w:r w:rsidR="00C36CA9" w:rsidRPr="00C36CA9">
        <w:rPr>
          <w:rFonts w:ascii="Times New Roman" w:hAnsi="Times New Roman" w:cs="Times New Roman"/>
        </w:rPr>
        <w:t>progression at issue—ubiquitous in pop music—even</w:t>
      </w:r>
      <w:r w:rsidR="00C36CA9">
        <w:rPr>
          <w:rFonts w:ascii="Times New Roman" w:hAnsi="Times New Roman" w:cs="Times New Roman"/>
        </w:rPr>
        <w:t xml:space="preserve"> </w:t>
      </w:r>
      <w:r w:rsidR="00C36CA9" w:rsidRPr="00C36CA9">
        <w:rPr>
          <w:rFonts w:ascii="Times New Roman" w:hAnsi="Times New Roman" w:cs="Times New Roman"/>
        </w:rPr>
        <w:t>coupled with a syncopated harmonic rhythm, is too well</w:t>
      </w:r>
      <w:r w:rsidR="00C36CA9">
        <w:rPr>
          <w:rFonts w:ascii="Times New Roman" w:hAnsi="Times New Roman" w:cs="Times New Roman"/>
        </w:rPr>
        <w:t>-</w:t>
      </w:r>
      <w:r w:rsidR="00C36CA9" w:rsidRPr="00C36CA9">
        <w:rPr>
          <w:rFonts w:ascii="Times New Roman" w:hAnsi="Times New Roman" w:cs="Times New Roman"/>
        </w:rPr>
        <w:t>explored</w:t>
      </w:r>
      <w:r w:rsidR="00C36CA9">
        <w:rPr>
          <w:rFonts w:ascii="Times New Roman" w:hAnsi="Times New Roman" w:cs="Times New Roman"/>
        </w:rPr>
        <w:t xml:space="preserve"> </w:t>
      </w:r>
      <w:r w:rsidR="00C36CA9" w:rsidRPr="00C36CA9">
        <w:rPr>
          <w:rFonts w:ascii="Times New Roman" w:hAnsi="Times New Roman" w:cs="Times New Roman"/>
        </w:rPr>
        <w:t>to meet the originality threshold that copyright law</w:t>
      </w:r>
      <w:r w:rsidR="00C36CA9">
        <w:rPr>
          <w:rFonts w:ascii="Times New Roman" w:hAnsi="Times New Roman" w:cs="Times New Roman"/>
        </w:rPr>
        <w:t xml:space="preserve"> </w:t>
      </w:r>
      <w:r w:rsidR="00C36CA9" w:rsidRPr="00C36CA9">
        <w:rPr>
          <w:rFonts w:ascii="Times New Roman" w:hAnsi="Times New Roman" w:cs="Times New Roman"/>
        </w:rPr>
        <w:t>demands.</w:t>
      </w:r>
      <w:r w:rsidR="00C36CA9">
        <w:rPr>
          <w:rFonts w:ascii="Times New Roman" w:hAnsi="Times New Roman" w:cs="Times New Roman"/>
        </w:rPr>
        <w:t>”</w:t>
      </w:r>
      <w:r w:rsidR="00C36CA9">
        <w:rPr>
          <w:rStyle w:val="FootnoteReference"/>
          <w:rFonts w:ascii="Times New Roman" w:hAnsi="Times New Roman" w:cs="Times New Roman"/>
        </w:rPr>
        <w:footnoteReference w:id="65"/>
      </w:r>
    </w:p>
    <w:p w14:paraId="2BB4B6E9" w14:textId="7B24B3F4" w:rsidR="00BE707A" w:rsidRPr="00471F41" w:rsidRDefault="003908EB" w:rsidP="00AD4760">
      <w:pPr>
        <w:pStyle w:val="Heading4"/>
        <w:rPr>
          <w:rFonts w:ascii="Times New Roman" w:eastAsia="Times New Roman" w:hAnsi="Times New Roman" w:cs="Times New Roman"/>
          <w:i w:val="0"/>
          <w:iCs w:val="0"/>
          <w:kern w:val="0"/>
          <w:sz w:val="27"/>
          <w:szCs w:val="27"/>
          <w14:ligatures w14:val="none"/>
        </w:rPr>
      </w:pPr>
      <w:bookmarkStart w:id="22" w:name="_Toc220693051"/>
      <w:r>
        <w:rPr>
          <w:rFonts w:ascii="Times New Roman" w:hAnsi="Times New Roman" w:cs="Times New Roman"/>
          <w:i w:val="0"/>
          <w:iCs w:val="0"/>
        </w:rPr>
        <w:t>3</w:t>
      </w:r>
      <w:r w:rsidR="009E60E8" w:rsidRPr="00471F41">
        <w:rPr>
          <w:rFonts w:ascii="Times New Roman" w:hAnsi="Times New Roman" w:cs="Times New Roman"/>
          <w:i w:val="0"/>
          <w:iCs w:val="0"/>
        </w:rPr>
        <w:t>. Implications for AI-generated music</w:t>
      </w:r>
      <w:bookmarkEnd w:id="22"/>
    </w:p>
    <w:p w14:paraId="252C45EB" w14:textId="010A8A76" w:rsidR="009E60E8" w:rsidRPr="00AD048A" w:rsidRDefault="003908EB" w:rsidP="003908EB">
      <w:pPr>
        <w:spacing w:before="100" w:beforeAutospacing="1" w:after="100" w:afterAutospacing="1" w:line="240" w:lineRule="auto"/>
        <w:rPr>
          <w:rFonts w:ascii="Times New Roman" w:hAnsi="Times New Roman" w:cs="Times New Roman"/>
        </w:rPr>
      </w:pPr>
      <w:r w:rsidRPr="00905AEF">
        <w:rPr>
          <w:rFonts w:ascii="Times New Roman" w:hAnsi="Times New Roman" w:cs="Times New Roman"/>
          <w:i/>
          <w:iCs/>
        </w:rPr>
        <w:t>Blurred Lines</w:t>
      </w:r>
      <w:r w:rsidRPr="00AD048A">
        <w:rPr>
          <w:rFonts w:ascii="Times New Roman" w:hAnsi="Times New Roman" w:cs="Times New Roman"/>
        </w:rPr>
        <w:t xml:space="preserve"> and </w:t>
      </w:r>
      <w:r w:rsidRPr="00905AEF">
        <w:rPr>
          <w:rFonts w:ascii="Times New Roman" w:hAnsi="Times New Roman" w:cs="Times New Roman"/>
          <w:i/>
          <w:iCs/>
        </w:rPr>
        <w:t>Sheeran</w:t>
      </w:r>
      <w:r w:rsidRPr="00AD048A">
        <w:rPr>
          <w:rFonts w:ascii="Times New Roman" w:hAnsi="Times New Roman" w:cs="Times New Roman"/>
        </w:rPr>
        <w:t xml:space="preserve"> reveal how </w:t>
      </w:r>
      <w:r>
        <w:rPr>
          <w:rFonts w:ascii="Times New Roman" w:hAnsi="Times New Roman" w:cs="Times New Roman"/>
        </w:rPr>
        <w:t xml:space="preserve">just how </w:t>
      </w:r>
      <w:r w:rsidRPr="00AD048A">
        <w:rPr>
          <w:rFonts w:ascii="Times New Roman" w:hAnsi="Times New Roman" w:cs="Times New Roman"/>
        </w:rPr>
        <w:t>malleable</w:t>
      </w:r>
      <w:r>
        <w:rPr>
          <w:rFonts w:ascii="Times New Roman" w:hAnsi="Times New Roman" w:cs="Times New Roman"/>
        </w:rPr>
        <w:t xml:space="preserve"> and subjective the</w:t>
      </w:r>
      <w:r w:rsidRPr="00AD048A">
        <w:rPr>
          <w:rFonts w:ascii="Times New Roman" w:hAnsi="Times New Roman" w:cs="Times New Roman"/>
        </w:rPr>
        <w:t xml:space="preserve"> “substantial similarity” </w:t>
      </w:r>
      <w:r>
        <w:rPr>
          <w:rFonts w:ascii="Times New Roman" w:hAnsi="Times New Roman" w:cs="Times New Roman"/>
        </w:rPr>
        <w:t>standard can be when juries or courts are asked to distinguish between expression and “style”</w:t>
      </w:r>
      <w:r w:rsidR="00EF5FC1">
        <w:rPr>
          <w:rFonts w:ascii="Times New Roman" w:hAnsi="Times New Roman" w:cs="Times New Roman"/>
        </w:rPr>
        <w:t xml:space="preserve"> or “vibe.”</w:t>
      </w:r>
      <w:r>
        <w:rPr>
          <w:rFonts w:ascii="Times New Roman" w:hAnsi="Times New Roman" w:cs="Times New Roman"/>
        </w:rPr>
        <w:t xml:space="preserve"> This will be a difficult issue for AI-generated musical composition</w:t>
      </w:r>
      <w:r w:rsidR="00C86B17">
        <w:rPr>
          <w:rFonts w:ascii="Times New Roman" w:hAnsi="Times New Roman" w:cs="Times New Roman"/>
        </w:rPr>
        <w:t xml:space="preserve"> case</w:t>
      </w:r>
      <w:r>
        <w:rPr>
          <w:rFonts w:ascii="Times New Roman" w:hAnsi="Times New Roman" w:cs="Times New Roman"/>
        </w:rPr>
        <w:t>s.</w:t>
      </w:r>
      <w:r w:rsidR="009E60E8" w:rsidRPr="00AD048A">
        <w:rPr>
          <w:rFonts w:ascii="Times New Roman" w:hAnsi="Times New Roman" w:cs="Times New Roman"/>
        </w:rPr>
        <w:t xml:space="preserve"> Generative models can synthesize thousands of existing songs to produce outputs that sound </w:t>
      </w:r>
      <w:r w:rsidR="009E60E8" w:rsidRPr="00AD048A">
        <w:rPr>
          <w:rFonts w:ascii="Times New Roman" w:hAnsi="Times New Roman" w:cs="Times New Roman"/>
          <w:i/>
          <w:iCs/>
        </w:rPr>
        <w:t>like</w:t>
      </w:r>
      <w:r w:rsidR="009E60E8" w:rsidRPr="00AD048A">
        <w:rPr>
          <w:rFonts w:ascii="Times New Roman" w:hAnsi="Times New Roman" w:cs="Times New Roman"/>
        </w:rPr>
        <w:t xml:space="preserve"> Marvin Gaye or </w:t>
      </w:r>
      <w:r w:rsidR="00745C39" w:rsidRPr="00745C39">
        <w:rPr>
          <w:rFonts w:ascii="Times New Roman" w:hAnsi="Times New Roman" w:cs="Times New Roman"/>
          <w:i/>
          <w:iCs/>
        </w:rPr>
        <w:t>like</w:t>
      </w:r>
      <w:r w:rsidR="00745C39">
        <w:rPr>
          <w:rFonts w:ascii="Times New Roman" w:hAnsi="Times New Roman" w:cs="Times New Roman"/>
        </w:rPr>
        <w:t xml:space="preserve"> </w:t>
      </w:r>
      <w:r w:rsidR="009E60E8" w:rsidRPr="00AD048A">
        <w:rPr>
          <w:rFonts w:ascii="Times New Roman" w:hAnsi="Times New Roman" w:cs="Times New Roman"/>
        </w:rPr>
        <w:t>Ed Sheeran without reproducing any literal</w:t>
      </w:r>
      <w:r>
        <w:rPr>
          <w:rFonts w:ascii="Times New Roman" w:hAnsi="Times New Roman" w:cs="Times New Roman"/>
        </w:rPr>
        <w:t xml:space="preserve"> expression</w:t>
      </w:r>
      <w:r w:rsidR="009E60E8" w:rsidRPr="00AD048A">
        <w:rPr>
          <w:rFonts w:ascii="Times New Roman" w:hAnsi="Times New Roman" w:cs="Times New Roman"/>
        </w:rPr>
        <w:t xml:space="preserve">. If </w:t>
      </w:r>
      <w:r w:rsidR="00745C39">
        <w:rPr>
          <w:rFonts w:ascii="Times New Roman" w:hAnsi="Times New Roman" w:cs="Times New Roman"/>
        </w:rPr>
        <w:t xml:space="preserve">copying </w:t>
      </w:r>
      <w:r w:rsidR="009E60E8" w:rsidRPr="00AD048A">
        <w:rPr>
          <w:rFonts w:ascii="Times New Roman" w:hAnsi="Times New Roman" w:cs="Times New Roman"/>
        </w:rPr>
        <w:t xml:space="preserve">“vibe” alone suffices for infringement, the creative potential of AI systems could be chilled by the threat of litigation for stylistic resemblance. Yet if courts follow </w:t>
      </w:r>
      <w:r w:rsidR="009E60E8" w:rsidRPr="00AD048A">
        <w:rPr>
          <w:rFonts w:ascii="Times New Roman" w:hAnsi="Times New Roman" w:cs="Times New Roman"/>
          <w:i/>
          <w:iCs/>
        </w:rPr>
        <w:t>Sheeran</w:t>
      </w:r>
      <w:r w:rsidR="009E60E8" w:rsidRPr="00AD048A">
        <w:rPr>
          <w:rFonts w:ascii="Times New Roman" w:hAnsi="Times New Roman" w:cs="Times New Roman"/>
        </w:rPr>
        <w:t xml:space="preserve">’s restraint, emphasizing </w:t>
      </w:r>
      <w:r w:rsidR="00A401C4">
        <w:rPr>
          <w:rFonts w:ascii="Times New Roman" w:hAnsi="Times New Roman" w:cs="Times New Roman"/>
        </w:rPr>
        <w:t xml:space="preserve">the </w:t>
      </w:r>
      <w:r w:rsidR="009E60E8" w:rsidRPr="00AD048A">
        <w:rPr>
          <w:rFonts w:ascii="Times New Roman" w:hAnsi="Times New Roman" w:cs="Times New Roman"/>
        </w:rPr>
        <w:t xml:space="preserve">unprotectable </w:t>
      </w:r>
      <w:r w:rsidR="00A401C4">
        <w:rPr>
          <w:rFonts w:ascii="Times New Roman" w:hAnsi="Times New Roman" w:cs="Times New Roman"/>
        </w:rPr>
        <w:t xml:space="preserve">nature of basic </w:t>
      </w:r>
      <w:r w:rsidR="009E60E8" w:rsidRPr="00AD048A">
        <w:rPr>
          <w:rFonts w:ascii="Times New Roman" w:hAnsi="Times New Roman" w:cs="Times New Roman"/>
        </w:rPr>
        <w:t xml:space="preserve">musical building blocks, they </w:t>
      </w:r>
      <w:r w:rsidR="00A401C4">
        <w:rPr>
          <w:rFonts w:ascii="Times New Roman" w:hAnsi="Times New Roman" w:cs="Times New Roman"/>
        </w:rPr>
        <w:t xml:space="preserve">will better reflect </w:t>
      </w:r>
      <w:r w:rsidR="00A401C4" w:rsidRPr="00A401C4">
        <w:rPr>
          <w:rFonts w:ascii="Times New Roman" w:hAnsi="Times New Roman" w:cs="Times New Roman"/>
          <w:i/>
          <w:iCs/>
        </w:rPr>
        <w:t>Baker’s</w:t>
      </w:r>
      <w:r w:rsidR="00A401C4">
        <w:rPr>
          <w:rFonts w:ascii="Times New Roman" w:hAnsi="Times New Roman" w:cs="Times New Roman"/>
        </w:rPr>
        <w:t xml:space="preserve"> important lesson: distinguishing between idea and expression.</w:t>
      </w:r>
      <w:r w:rsidR="009E60E8" w:rsidRPr="00AD048A">
        <w:rPr>
          <w:rFonts w:ascii="Times New Roman" w:hAnsi="Times New Roman" w:cs="Times New Roman"/>
          <w:vertAlign w:val="superscript"/>
        </w:rPr>
        <w:footnoteReference w:id="66"/>
      </w:r>
    </w:p>
    <w:p w14:paraId="599C77DC" w14:textId="0707ABA2" w:rsidR="00E91C52" w:rsidRDefault="009E60E8" w:rsidP="00C24442">
      <w:pPr>
        <w:spacing w:after="0" w:line="240" w:lineRule="auto"/>
        <w:rPr>
          <w:rFonts w:ascii="Times New Roman" w:hAnsi="Times New Roman" w:cs="Times New Roman"/>
        </w:rPr>
      </w:pPr>
      <w:r w:rsidRPr="00AD048A">
        <w:rPr>
          <w:rFonts w:ascii="Times New Roman" w:hAnsi="Times New Roman" w:cs="Times New Roman"/>
        </w:rPr>
        <w:t xml:space="preserve">These twin decisions thus frame a cautionary continuum. </w:t>
      </w:r>
      <w:r w:rsidRPr="00AD048A">
        <w:rPr>
          <w:rFonts w:ascii="Times New Roman" w:hAnsi="Times New Roman" w:cs="Times New Roman"/>
          <w:i/>
          <w:iCs/>
        </w:rPr>
        <w:t>Blurred Lines</w:t>
      </w:r>
      <w:r w:rsidRPr="00AD048A">
        <w:rPr>
          <w:rFonts w:ascii="Times New Roman" w:hAnsi="Times New Roman" w:cs="Times New Roman"/>
        </w:rPr>
        <w:t xml:space="preserve"> stretches copyright toward protecting style; </w:t>
      </w:r>
      <w:r w:rsidRPr="00AD048A">
        <w:rPr>
          <w:rFonts w:ascii="Times New Roman" w:hAnsi="Times New Roman" w:cs="Times New Roman"/>
          <w:i/>
          <w:iCs/>
        </w:rPr>
        <w:t>Sheeran</w:t>
      </w:r>
      <w:r w:rsidRPr="00AD048A">
        <w:rPr>
          <w:rFonts w:ascii="Times New Roman" w:hAnsi="Times New Roman" w:cs="Times New Roman"/>
        </w:rPr>
        <w:t xml:space="preserve"> restores the balance, reminding us that art evolves through imitation as well as innovation. For policymakers confronting AI, the enduring task is the same one courts faced in </w:t>
      </w:r>
      <w:r w:rsidR="00A401C4" w:rsidRPr="00A401C4">
        <w:rPr>
          <w:rFonts w:ascii="Times New Roman" w:hAnsi="Times New Roman" w:cs="Times New Roman"/>
          <w:i/>
          <w:iCs/>
        </w:rPr>
        <w:t>Baker</w:t>
      </w:r>
      <w:r w:rsidR="00A401C4">
        <w:rPr>
          <w:rFonts w:ascii="Times New Roman" w:hAnsi="Times New Roman" w:cs="Times New Roman"/>
        </w:rPr>
        <w:t xml:space="preserve"> and </w:t>
      </w:r>
      <w:r w:rsidRPr="00AD048A">
        <w:rPr>
          <w:rFonts w:ascii="Times New Roman" w:hAnsi="Times New Roman" w:cs="Times New Roman"/>
          <w:i/>
          <w:iCs/>
        </w:rPr>
        <w:t>Atari</w:t>
      </w:r>
      <w:r w:rsidRPr="00AD048A">
        <w:rPr>
          <w:rFonts w:ascii="Times New Roman" w:hAnsi="Times New Roman" w:cs="Times New Roman"/>
        </w:rPr>
        <w:t>: to distinguish between creative expression and the raw materials from which all creativity flows.</w:t>
      </w:r>
      <w:r w:rsidRPr="00AD048A">
        <w:rPr>
          <w:rFonts w:ascii="Times New Roman" w:hAnsi="Times New Roman" w:cs="Times New Roman"/>
          <w:vertAlign w:val="superscript"/>
        </w:rPr>
        <w:footnoteReference w:id="67"/>
      </w:r>
    </w:p>
    <w:p w14:paraId="76D0DAA2" w14:textId="77777777" w:rsidR="00C24442" w:rsidRPr="00AD048A" w:rsidRDefault="00C24442" w:rsidP="00C24442">
      <w:pPr>
        <w:spacing w:after="0"/>
        <w:rPr>
          <w:rFonts w:ascii="Times New Roman" w:hAnsi="Times New Roman" w:cs="Times New Roman"/>
        </w:rPr>
      </w:pPr>
    </w:p>
    <w:p w14:paraId="5024C75D" w14:textId="147F5A99" w:rsidR="008E6DA3" w:rsidRPr="008E6444" w:rsidRDefault="008E6DA3" w:rsidP="008E6DA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3" w:name="_Toc220693052"/>
      <w:r w:rsidRPr="008E6444">
        <w:rPr>
          <w:rFonts w:ascii="Times New Roman" w:eastAsia="Times New Roman" w:hAnsi="Times New Roman" w:cs="Times New Roman"/>
          <w:b/>
          <w:bCs/>
          <w:kern w:val="0"/>
          <w:sz w:val="36"/>
          <w:szCs w:val="36"/>
          <w14:ligatures w14:val="none"/>
        </w:rPr>
        <w:lastRenderedPageBreak/>
        <w:t xml:space="preserve">PART V. </w:t>
      </w:r>
      <w:r w:rsidR="007D18D1">
        <w:rPr>
          <w:rFonts w:ascii="Times New Roman" w:eastAsia="Times New Roman" w:hAnsi="Times New Roman" w:cs="Times New Roman"/>
          <w:b/>
          <w:bCs/>
          <w:kern w:val="0"/>
          <w:sz w:val="36"/>
          <w:szCs w:val="36"/>
          <w14:ligatures w14:val="none"/>
        </w:rPr>
        <w:t>FAIR USE</w:t>
      </w:r>
      <w:r w:rsidR="00026C2F">
        <w:rPr>
          <w:rFonts w:ascii="Times New Roman" w:eastAsia="Times New Roman" w:hAnsi="Times New Roman" w:cs="Times New Roman"/>
          <w:b/>
          <w:bCs/>
          <w:kern w:val="0"/>
          <w:sz w:val="36"/>
          <w:szCs w:val="36"/>
          <w14:ligatures w14:val="none"/>
        </w:rPr>
        <w:t xml:space="preserve">, </w:t>
      </w:r>
      <w:r w:rsidRPr="008E6444">
        <w:rPr>
          <w:rFonts w:ascii="Times New Roman" w:eastAsia="Times New Roman" w:hAnsi="Times New Roman" w:cs="Times New Roman"/>
          <w:b/>
          <w:bCs/>
          <w:kern w:val="0"/>
          <w:sz w:val="36"/>
          <w:szCs w:val="36"/>
          <w14:ligatures w14:val="none"/>
        </w:rPr>
        <w:t>TRANSFORMA</w:t>
      </w:r>
      <w:r w:rsidR="007D18D1">
        <w:rPr>
          <w:rFonts w:ascii="Times New Roman" w:eastAsia="Times New Roman" w:hAnsi="Times New Roman" w:cs="Times New Roman"/>
          <w:b/>
          <w:bCs/>
          <w:kern w:val="0"/>
          <w:sz w:val="36"/>
          <w:szCs w:val="36"/>
          <w14:ligatures w14:val="none"/>
        </w:rPr>
        <w:t>TION</w:t>
      </w:r>
      <w:r w:rsidR="00026C2F">
        <w:rPr>
          <w:rFonts w:ascii="Times New Roman" w:eastAsia="Times New Roman" w:hAnsi="Times New Roman" w:cs="Times New Roman"/>
          <w:b/>
          <w:bCs/>
          <w:kern w:val="0"/>
          <w:sz w:val="36"/>
          <w:szCs w:val="36"/>
          <w14:ligatures w14:val="none"/>
        </w:rPr>
        <w:t xml:space="preserve"> AND MARKET EFFECT</w:t>
      </w:r>
      <w:bookmarkEnd w:id="23"/>
    </w:p>
    <w:p w14:paraId="3D223CA8" w14:textId="77777777" w:rsidR="00953967" w:rsidRDefault="0046081C" w:rsidP="0095396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 w:name="_Toc220693053"/>
      <w:r w:rsidRPr="008E6444">
        <w:rPr>
          <w:rFonts w:ascii="Times New Roman" w:eastAsia="Times New Roman" w:hAnsi="Times New Roman" w:cs="Times New Roman"/>
          <w:b/>
          <w:bCs/>
          <w:kern w:val="0"/>
          <w:sz w:val="27"/>
          <w:szCs w:val="27"/>
          <w14:ligatures w14:val="none"/>
        </w:rPr>
        <w:t xml:space="preserve">A. </w:t>
      </w:r>
      <w:r>
        <w:rPr>
          <w:rFonts w:ascii="Times New Roman" w:eastAsia="Times New Roman" w:hAnsi="Times New Roman" w:cs="Times New Roman"/>
          <w:b/>
          <w:bCs/>
          <w:kern w:val="0"/>
          <w:sz w:val="27"/>
          <w:szCs w:val="27"/>
          <w14:ligatures w14:val="none"/>
        </w:rPr>
        <w:t xml:space="preserve">Fair </w:t>
      </w:r>
      <w:r w:rsidR="00C366F8">
        <w:rPr>
          <w:rFonts w:ascii="Times New Roman" w:eastAsia="Times New Roman" w:hAnsi="Times New Roman" w:cs="Times New Roman"/>
          <w:b/>
          <w:bCs/>
          <w:kern w:val="0"/>
          <w:sz w:val="27"/>
          <w:szCs w:val="27"/>
          <w14:ligatures w14:val="none"/>
        </w:rPr>
        <w:t>Use</w:t>
      </w:r>
      <w:bookmarkEnd w:id="24"/>
    </w:p>
    <w:p w14:paraId="215EBBEA" w14:textId="16CB2A9E" w:rsidR="004123E7" w:rsidRPr="002B1896" w:rsidRDefault="004123E7" w:rsidP="00256E53">
      <w:pPr>
        <w:spacing w:after="0" w:line="240" w:lineRule="auto"/>
        <w:rPr>
          <w:rFonts w:ascii="Times New Roman" w:hAnsi="Times New Roman" w:cs="Times New Roman"/>
        </w:rPr>
      </w:pPr>
      <w:r w:rsidRPr="002B1896">
        <w:rPr>
          <w:rFonts w:ascii="Times New Roman" w:hAnsi="Times New Roman" w:cs="Times New Roman"/>
        </w:rPr>
        <w:t xml:space="preserve">In 1976 Congress codified the common </w:t>
      </w:r>
      <w:r w:rsidR="00953967" w:rsidRPr="002B1896">
        <w:rPr>
          <w:rFonts w:ascii="Times New Roman" w:hAnsi="Times New Roman" w:cs="Times New Roman"/>
        </w:rPr>
        <w:t xml:space="preserve">law </w:t>
      </w:r>
      <w:r w:rsidRPr="002B1896">
        <w:rPr>
          <w:rFonts w:ascii="Times New Roman" w:hAnsi="Times New Roman" w:cs="Times New Roman"/>
        </w:rPr>
        <w:t xml:space="preserve">doctrine of fair use. In addition to a definition, </w:t>
      </w:r>
      <w:r w:rsidR="00953967" w:rsidRPr="002B1896">
        <w:rPr>
          <w:rFonts w:ascii="Times New Roman" w:hAnsi="Times New Roman" w:cs="Times New Roman"/>
        </w:rPr>
        <w:t xml:space="preserve">the </w:t>
      </w:r>
      <w:r w:rsidRPr="002B1896">
        <w:rPr>
          <w:rFonts w:ascii="Times New Roman" w:hAnsi="Times New Roman" w:cs="Times New Roman"/>
        </w:rPr>
        <w:t>Copyright Act provides four factors for courts to use to determine whether a claimed fair use is in fact, a fair use:</w:t>
      </w:r>
    </w:p>
    <w:p w14:paraId="19A49952" w14:textId="77777777" w:rsidR="00256E53" w:rsidRPr="00256E53" w:rsidRDefault="00256E53" w:rsidP="00256E53">
      <w:pPr>
        <w:spacing w:after="0" w:line="240" w:lineRule="auto"/>
      </w:pPr>
    </w:p>
    <w:p w14:paraId="3BAC8F3B" w14:textId="6B43A71C" w:rsidR="004123E7" w:rsidRPr="004123E7" w:rsidRDefault="004123E7" w:rsidP="004123E7">
      <w:pPr>
        <w:spacing w:after="0" w:line="240" w:lineRule="auto"/>
        <w:ind w:left="720"/>
        <w:rPr>
          <w:rFonts w:ascii="Times New Roman" w:eastAsia="Times New Roman" w:hAnsi="Times New Roman" w:cs="Times New Roman"/>
          <w:kern w:val="0"/>
          <w14:ligatures w14:val="none"/>
        </w:rPr>
      </w:pPr>
      <w:r w:rsidRPr="004123E7">
        <w:rPr>
          <w:rFonts w:ascii="Times New Roman" w:eastAsia="Times New Roman" w:hAnsi="Times New Roman" w:cs="Times New Roman"/>
          <w:kern w:val="0"/>
          <w14:ligatures w14:val="none"/>
        </w:rPr>
        <w:t xml:space="preserve">(1) the purpose and character of the use, </w:t>
      </w:r>
      <w:hyperlink r:id="rId8" w:history="1">
        <w:r w:rsidRPr="004123E7">
          <w:rPr>
            <w:rFonts w:ascii="Times New Roman" w:eastAsia="Times New Roman" w:hAnsi="Times New Roman" w:cs="Times New Roman"/>
            <w:kern w:val="0"/>
            <w14:ligatures w14:val="none"/>
          </w:rPr>
          <w:t>including</w:t>
        </w:r>
      </w:hyperlink>
      <w:r w:rsidRPr="004123E7">
        <w:rPr>
          <w:rFonts w:ascii="Times New Roman" w:eastAsia="Times New Roman" w:hAnsi="Times New Roman" w:cs="Times New Roman"/>
          <w:kern w:val="0"/>
          <w14:ligatures w14:val="none"/>
        </w:rPr>
        <w:t xml:space="preserve"> whether such use is of a commercial nature or is for nonprofit educational purposes;</w:t>
      </w:r>
    </w:p>
    <w:p w14:paraId="18AA617F" w14:textId="722AF045" w:rsidR="004123E7" w:rsidRPr="004123E7" w:rsidRDefault="004123E7" w:rsidP="004123E7">
      <w:pPr>
        <w:spacing w:after="0" w:line="240" w:lineRule="auto"/>
        <w:ind w:left="720"/>
        <w:rPr>
          <w:rFonts w:ascii="Times New Roman" w:eastAsia="Times New Roman" w:hAnsi="Times New Roman" w:cs="Times New Roman"/>
          <w:kern w:val="0"/>
          <w14:ligatures w14:val="none"/>
        </w:rPr>
      </w:pPr>
      <w:bookmarkStart w:id="25" w:name="2"/>
      <w:bookmarkEnd w:id="25"/>
      <w:r w:rsidRPr="004123E7">
        <w:rPr>
          <w:rFonts w:ascii="Times New Roman" w:eastAsia="Times New Roman" w:hAnsi="Times New Roman" w:cs="Times New Roman"/>
          <w:kern w:val="0"/>
          <w14:ligatures w14:val="none"/>
        </w:rPr>
        <w:t>(2) the nature of the copyrighted work;</w:t>
      </w:r>
    </w:p>
    <w:p w14:paraId="33268151" w14:textId="74508D1C" w:rsidR="004123E7" w:rsidRPr="004123E7" w:rsidRDefault="004123E7" w:rsidP="004123E7">
      <w:pPr>
        <w:spacing w:after="0" w:line="240" w:lineRule="auto"/>
        <w:ind w:left="720"/>
        <w:rPr>
          <w:rFonts w:ascii="Times New Roman" w:eastAsia="Times New Roman" w:hAnsi="Times New Roman" w:cs="Times New Roman"/>
          <w:kern w:val="0"/>
          <w14:ligatures w14:val="none"/>
        </w:rPr>
      </w:pPr>
      <w:bookmarkStart w:id="26" w:name="3"/>
      <w:bookmarkEnd w:id="26"/>
      <w:r w:rsidRPr="004123E7">
        <w:rPr>
          <w:rFonts w:ascii="Times New Roman" w:eastAsia="Times New Roman" w:hAnsi="Times New Roman" w:cs="Times New Roman"/>
          <w:kern w:val="0"/>
          <w14:ligatures w14:val="none"/>
        </w:rPr>
        <w:t>(3) the amount and substantiality of the portion used in relation to the copyrighted work as a whole; and</w:t>
      </w:r>
    </w:p>
    <w:p w14:paraId="7F5F06CB" w14:textId="7BDED677" w:rsidR="004123E7" w:rsidRPr="004123E7" w:rsidRDefault="004123E7" w:rsidP="004123E7">
      <w:pPr>
        <w:spacing w:after="0" w:line="240" w:lineRule="auto"/>
        <w:ind w:left="720"/>
        <w:rPr>
          <w:rFonts w:ascii="Times New Roman" w:eastAsia="Times New Roman" w:hAnsi="Times New Roman" w:cs="Times New Roman"/>
          <w:kern w:val="0"/>
          <w14:ligatures w14:val="none"/>
        </w:rPr>
      </w:pPr>
      <w:bookmarkStart w:id="27" w:name="4"/>
      <w:bookmarkEnd w:id="27"/>
      <w:r w:rsidRPr="004123E7">
        <w:rPr>
          <w:rFonts w:ascii="Times New Roman" w:eastAsia="Times New Roman" w:hAnsi="Times New Roman" w:cs="Times New Roman"/>
          <w:kern w:val="0"/>
          <w14:ligatures w14:val="none"/>
        </w:rPr>
        <w:t>(4) the effect of the use upon the potential market for or value of the copyrighted work.</w:t>
      </w:r>
      <w:r>
        <w:rPr>
          <w:rStyle w:val="FootnoteReference"/>
          <w:rFonts w:ascii="Times New Roman" w:eastAsia="Times New Roman" w:hAnsi="Times New Roman" w:cs="Times New Roman"/>
          <w:kern w:val="0"/>
          <w14:ligatures w14:val="none"/>
        </w:rPr>
        <w:footnoteReference w:id="68"/>
      </w:r>
    </w:p>
    <w:p w14:paraId="561954AE" w14:textId="2439441B" w:rsidR="002134E2" w:rsidRPr="008E6444" w:rsidRDefault="002134E2" w:rsidP="008E6DA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Ever since </w:t>
      </w:r>
      <w:r w:rsidRPr="0046081C">
        <w:rPr>
          <w:rFonts w:ascii="Times New Roman" w:eastAsia="Times New Roman" w:hAnsi="Times New Roman" w:cs="Times New Roman"/>
          <w:i/>
          <w:kern w:val="0"/>
          <w14:ligatures w14:val="none"/>
        </w:rPr>
        <w:t>Campbell</w:t>
      </w:r>
      <w:r>
        <w:rPr>
          <w:rFonts w:ascii="Times New Roman" w:eastAsia="Times New Roman" w:hAnsi="Times New Roman" w:cs="Times New Roman"/>
          <w:kern w:val="0"/>
          <w14:ligatures w14:val="none"/>
        </w:rPr>
        <w:t>, a major focus has been on factor one.</w:t>
      </w:r>
      <w:r w:rsidR="0046081C" w:rsidRPr="008E6DA3">
        <w:rPr>
          <w:rStyle w:val="FootnoteReference"/>
          <w:rFonts w:ascii="Times New Roman" w:eastAsia="Times New Roman" w:hAnsi="Times New Roman" w:cs="Times New Roman"/>
          <w:kern w:val="0"/>
          <w14:ligatures w14:val="none"/>
        </w:rPr>
        <w:footnoteReference w:id="69"/>
      </w:r>
      <w:r>
        <w:rPr>
          <w:rFonts w:ascii="Times New Roman" w:eastAsia="Times New Roman" w:hAnsi="Times New Roman" w:cs="Times New Roman"/>
          <w:kern w:val="0"/>
          <w14:ligatures w14:val="none"/>
        </w:rPr>
        <w:t xml:space="preserve"> Th</w:t>
      </w:r>
      <w:r w:rsidR="008E6DA3" w:rsidRPr="008E6444">
        <w:rPr>
          <w:rFonts w:ascii="Times New Roman" w:eastAsia="Times New Roman" w:hAnsi="Times New Roman" w:cs="Times New Roman"/>
          <w:kern w:val="0"/>
          <w14:ligatures w14:val="none"/>
        </w:rPr>
        <w:t>e concept of “transformation” lies at the heart of modern fair-use analysis</w:t>
      </w:r>
      <w:r>
        <w:rPr>
          <w:rFonts w:ascii="Times New Roman" w:eastAsia="Times New Roman" w:hAnsi="Times New Roman" w:cs="Times New Roman"/>
          <w:kern w:val="0"/>
          <w14:ligatures w14:val="none"/>
        </w:rPr>
        <w:t>.</w:t>
      </w:r>
      <w:r w:rsidR="0046081C">
        <w:rPr>
          <w:rStyle w:val="FootnoteReference"/>
          <w:rFonts w:ascii="Times New Roman" w:eastAsia="Times New Roman" w:hAnsi="Times New Roman" w:cs="Times New Roman"/>
          <w:kern w:val="0"/>
          <w14:ligatures w14:val="none"/>
        </w:rPr>
        <w:footnoteReference w:id="70"/>
      </w:r>
      <w:r>
        <w:rPr>
          <w:rFonts w:ascii="Times New Roman" w:eastAsia="Times New Roman" w:hAnsi="Times New Roman" w:cs="Times New Roman"/>
          <w:kern w:val="0"/>
          <w14:ligatures w14:val="none"/>
        </w:rPr>
        <w:t xml:space="preserve"> C</w:t>
      </w:r>
      <w:r w:rsidR="008E6DA3" w:rsidRPr="008E6444">
        <w:rPr>
          <w:rFonts w:ascii="Times New Roman" w:eastAsia="Times New Roman" w:hAnsi="Times New Roman" w:cs="Times New Roman"/>
          <w:kern w:val="0"/>
          <w14:ligatures w14:val="none"/>
        </w:rPr>
        <w:t>ourts have asked not simply whether a secondary use copies an earlier work, but whether it adds something new, with a further purpose or different character.</w:t>
      </w:r>
      <w:r w:rsidR="008E6DA3" w:rsidRPr="008E6DA3">
        <w:rPr>
          <w:rFonts w:ascii="Times New Roman" w:eastAsia="Times New Roman" w:hAnsi="Times New Roman" w:cs="Times New Roman"/>
          <w:kern w:val="0"/>
          <w14:ligatures w14:val="none"/>
        </w:rPr>
        <w:t xml:space="preserve"> </w:t>
      </w:r>
      <w:r w:rsidR="008E6DA3" w:rsidRPr="008E6444">
        <w:rPr>
          <w:rFonts w:ascii="Times New Roman" w:eastAsia="Times New Roman" w:hAnsi="Times New Roman" w:cs="Times New Roman"/>
          <w:kern w:val="0"/>
          <w14:ligatures w14:val="none"/>
        </w:rPr>
        <w:t xml:space="preserve">Transformation, once limited to parody, has become </w:t>
      </w:r>
      <w:r>
        <w:rPr>
          <w:rFonts w:ascii="Times New Roman" w:eastAsia="Times New Roman" w:hAnsi="Times New Roman" w:cs="Times New Roman"/>
          <w:kern w:val="0"/>
          <w14:ligatures w14:val="none"/>
        </w:rPr>
        <w:t>a</w:t>
      </w:r>
      <w:r w:rsidR="008E6DA3" w:rsidRPr="008E6444">
        <w:rPr>
          <w:rFonts w:ascii="Times New Roman" w:eastAsia="Times New Roman" w:hAnsi="Times New Roman" w:cs="Times New Roman"/>
          <w:kern w:val="0"/>
          <w14:ligatures w14:val="none"/>
        </w:rPr>
        <w:t xml:space="preserve"> dominant analytical lens through which courts evaluate reuse across media—from sampling and collage to digital search and, now, artificial intelligence.</w:t>
      </w:r>
      <w:r w:rsidR="0046081C">
        <w:rPr>
          <w:rFonts w:ascii="Times New Roman" w:eastAsia="Times New Roman" w:hAnsi="Times New Roman" w:cs="Times New Roman"/>
          <w:kern w:val="0"/>
          <w14:ligatures w14:val="none"/>
        </w:rPr>
        <w:t xml:space="preserve"> </w:t>
      </w:r>
      <w:r w:rsidRPr="0046081C">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expanded the importance of transformation, but also </w:t>
      </w:r>
      <w:r w:rsidR="00937B8E">
        <w:rPr>
          <w:rFonts w:ascii="Times New Roman" w:eastAsia="Times New Roman" w:hAnsi="Times New Roman" w:cs="Times New Roman"/>
          <w:kern w:val="0"/>
          <w14:ligatures w14:val="none"/>
        </w:rPr>
        <w:t>tied it more tightly to</w:t>
      </w:r>
      <w:r>
        <w:rPr>
          <w:rFonts w:ascii="Times New Roman" w:eastAsia="Times New Roman" w:hAnsi="Times New Roman" w:cs="Times New Roman"/>
          <w:kern w:val="0"/>
          <w14:ligatures w14:val="none"/>
        </w:rPr>
        <w:t xml:space="preserve"> factor four.</w:t>
      </w:r>
      <w:r w:rsidR="0046081C">
        <w:rPr>
          <w:rStyle w:val="FootnoteReference"/>
          <w:rFonts w:ascii="Times New Roman" w:eastAsia="Times New Roman" w:hAnsi="Times New Roman" w:cs="Times New Roman"/>
          <w:kern w:val="0"/>
          <w14:ligatures w14:val="none"/>
        </w:rPr>
        <w:footnoteReference w:id="71"/>
      </w:r>
      <w:r>
        <w:rPr>
          <w:rFonts w:ascii="Times New Roman" w:eastAsia="Times New Roman" w:hAnsi="Times New Roman" w:cs="Times New Roman"/>
          <w:kern w:val="0"/>
          <w14:ligatures w14:val="none"/>
        </w:rPr>
        <w:t xml:space="preserve"> These two factors </w:t>
      </w:r>
      <w:r w:rsidR="0046081C">
        <w:rPr>
          <w:rFonts w:ascii="Times New Roman" w:eastAsia="Times New Roman" w:hAnsi="Times New Roman" w:cs="Times New Roman"/>
          <w:kern w:val="0"/>
          <w14:ligatures w14:val="none"/>
        </w:rPr>
        <w:t>have</w:t>
      </w:r>
      <w:r w:rsidR="0090545B">
        <w:rPr>
          <w:rFonts w:ascii="Times New Roman" w:eastAsia="Times New Roman" w:hAnsi="Times New Roman" w:cs="Times New Roman"/>
          <w:kern w:val="0"/>
          <w14:ligatures w14:val="none"/>
        </w:rPr>
        <w:t xml:space="preserve"> taken,</w:t>
      </w:r>
      <w:r w:rsidR="0046081C">
        <w:rPr>
          <w:rFonts w:ascii="Times New Roman" w:eastAsia="Times New Roman" w:hAnsi="Times New Roman" w:cs="Times New Roman"/>
          <w:kern w:val="0"/>
          <w14:ligatures w14:val="none"/>
        </w:rPr>
        <w:t xml:space="preserve"> and </w:t>
      </w:r>
      <w:r w:rsidR="0090545B">
        <w:rPr>
          <w:rFonts w:ascii="Times New Roman" w:eastAsia="Times New Roman" w:hAnsi="Times New Roman" w:cs="Times New Roman"/>
          <w:kern w:val="0"/>
          <w14:ligatures w14:val="none"/>
        </w:rPr>
        <w:t xml:space="preserve">likely </w:t>
      </w:r>
      <w:r>
        <w:rPr>
          <w:rFonts w:ascii="Times New Roman" w:eastAsia="Times New Roman" w:hAnsi="Times New Roman" w:cs="Times New Roman"/>
          <w:kern w:val="0"/>
          <w14:ligatures w14:val="none"/>
        </w:rPr>
        <w:t xml:space="preserve">will </w:t>
      </w:r>
      <w:r w:rsidR="0090545B">
        <w:rPr>
          <w:rFonts w:ascii="Times New Roman" w:eastAsia="Times New Roman" w:hAnsi="Times New Roman" w:cs="Times New Roman"/>
          <w:kern w:val="0"/>
          <w14:ligatures w14:val="none"/>
        </w:rPr>
        <w:t xml:space="preserve">continue to </w:t>
      </w:r>
      <w:r>
        <w:rPr>
          <w:rFonts w:ascii="Times New Roman" w:eastAsia="Times New Roman" w:hAnsi="Times New Roman" w:cs="Times New Roman"/>
          <w:kern w:val="0"/>
          <w14:ligatures w14:val="none"/>
        </w:rPr>
        <w:t>take</w:t>
      </w:r>
      <w:r w:rsidR="00674D0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center stage in the </w:t>
      </w:r>
      <w:r w:rsidR="0046081C">
        <w:rPr>
          <w:rFonts w:ascii="Times New Roman" w:eastAsia="Times New Roman" w:hAnsi="Times New Roman" w:cs="Times New Roman"/>
          <w:kern w:val="0"/>
          <w14:ligatures w14:val="none"/>
        </w:rPr>
        <w:t>generative AI cases.</w:t>
      </w:r>
      <w:r w:rsidR="00922A70">
        <w:rPr>
          <w:rStyle w:val="FootnoteReference"/>
          <w:rFonts w:ascii="Times New Roman" w:eastAsia="Times New Roman" w:hAnsi="Times New Roman" w:cs="Times New Roman"/>
          <w:kern w:val="0"/>
          <w14:ligatures w14:val="none"/>
        </w:rPr>
        <w:footnoteReference w:id="72"/>
      </w:r>
    </w:p>
    <w:p w14:paraId="7D8F039F" w14:textId="481631EB" w:rsidR="008E6DA3" w:rsidRPr="008E6444" w:rsidRDefault="00C366F8" w:rsidP="008E6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8" w:name="_Toc220693054"/>
      <w:r>
        <w:rPr>
          <w:rFonts w:ascii="Times New Roman" w:eastAsia="Times New Roman" w:hAnsi="Times New Roman" w:cs="Times New Roman"/>
          <w:b/>
          <w:bCs/>
          <w:kern w:val="0"/>
          <w:sz w:val="27"/>
          <w:szCs w:val="27"/>
          <w14:ligatures w14:val="none"/>
        </w:rPr>
        <w:t>B</w:t>
      </w:r>
      <w:r w:rsidR="008E6DA3" w:rsidRPr="008E6444">
        <w:rPr>
          <w:rFonts w:ascii="Times New Roman" w:eastAsia="Times New Roman" w:hAnsi="Times New Roman" w:cs="Times New Roman"/>
          <w:b/>
          <w:bCs/>
          <w:kern w:val="0"/>
          <w:sz w:val="27"/>
          <w:szCs w:val="27"/>
          <w14:ligatures w14:val="none"/>
        </w:rPr>
        <w:t xml:space="preserve">. The Transformative Turn in </w:t>
      </w:r>
      <w:r w:rsidR="008E6DA3" w:rsidRPr="008E6444">
        <w:rPr>
          <w:rFonts w:ascii="Times New Roman" w:eastAsia="Times New Roman" w:hAnsi="Times New Roman" w:cs="Times New Roman"/>
          <w:b/>
          <w:bCs/>
          <w:i/>
          <w:iCs/>
          <w:kern w:val="0"/>
          <w:sz w:val="27"/>
          <w:szCs w:val="27"/>
          <w14:ligatures w14:val="none"/>
        </w:rPr>
        <w:t>Campbell</w:t>
      </w:r>
      <w:bookmarkEnd w:id="28"/>
    </w:p>
    <w:p w14:paraId="728AD90E" w14:textId="5A0D20EA" w:rsidR="008E6DA3" w:rsidRDefault="008E6DA3" w:rsidP="008E6DA3">
      <w:pPr>
        <w:spacing w:before="100" w:beforeAutospacing="1" w:after="100" w:afterAutospacing="1" w:line="240" w:lineRule="auto"/>
        <w:rPr>
          <w:rFonts w:ascii="Times New Roman" w:eastAsia="Times New Roman" w:hAnsi="Times New Roman" w:cs="Times New Roman"/>
          <w:kern w:val="0"/>
          <w14:ligatures w14:val="none"/>
        </w:rPr>
      </w:pPr>
      <w:r w:rsidRPr="008E6444">
        <w:rPr>
          <w:rFonts w:ascii="Times New Roman" w:eastAsia="Times New Roman" w:hAnsi="Times New Roman" w:cs="Times New Roman"/>
          <w:kern w:val="0"/>
          <w14:ligatures w14:val="none"/>
        </w:rPr>
        <w:t xml:space="preserve">In </w:t>
      </w:r>
      <w:r w:rsidRPr="008E6444">
        <w:rPr>
          <w:rFonts w:ascii="Times New Roman" w:eastAsia="Times New Roman" w:hAnsi="Times New Roman" w:cs="Times New Roman"/>
          <w:i/>
          <w:iCs/>
          <w:kern w:val="0"/>
          <w14:ligatures w14:val="none"/>
        </w:rPr>
        <w:t>Campbell</w:t>
      </w:r>
      <w:r w:rsidRPr="008E6444">
        <w:rPr>
          <w:rFonts w:ascii="Times New Roman" w:eastAsia="Times New Roman" w:hAnsi="Times New Roman" w:cs="Times New Roman"/>
          <w:kern w:val="0"/>
          <w14:ligatures w14:val="none"/>
        </w:rPr>
        <w:t>, the Supreme Court reoriented fair-use doctrine from mechanical factor-counting toward a contextual inquiry focused on meaning and purpose.</w:t>
      </w:r>
      <w:r>
        <w:rPr>
          <w:rStyle w:val="FootnoteReference"/>
          <w:rFonts w:ascii="Times New Roman" w:eastAsia="Times New Roman" w:hAnsi="Times New Roman" w:cs="Times New Roman"/>
          <w:kern w:val="0"/>
          <w14:ligatures w14:val="none"/>
        </w:rPr>
        <w:footnoteReference w:id="73"/>
      </w:r>
      <w:r w:rsidRPr="008E6444">
        <w:rPr>
          <w:rFonts w:ascii="Times New Roman" w:eastAsia="Times New Roman" w:hAnsi="Times New Roman" w:cs="Times New Roman"/>
          <w:kern w:val="0"/>
          <w14:ligatures w14:val="none"/>
        </w:rPr>
        <w:t xml:space="preserve"> The Court held that 2 Live Crew’s raunchy version of </w:t>
      </w:r>
      <w:r w:rsidR="000E7881">
        <w:rPr>
          <w:rFonts w:ascii="Times New Roman" w:eastAsia="Times New Roman" w:hAnsi="Times New Roman" w:cs="Times New Roman"/>
          <w:kern w:val="0"/>
          <w14:ligatures w14:val="none"/>
        </w:rPr>
        <w:t xml:space="preserve">Roy Orbison’s classic “Oh, </w:t>
      </w:r>
      <w:r w:rsidRPr="000E7881">
        <w:rPr>
          <w:rFonts w:ascii="Times New Roman" w:eastAsia="Times New Roman" w:hAnsi="Times New Roman" w:cs="Times New Roman"/>
          <w:kern w:val="0"/>
          <w14:ligatures w14:val="none"/>
        </w:rPr>
        <w:t>Pretty Woman</w:t>
      </w:r>
      <w:r w:rsidR="000E7881">
        <w:rPr>
          <w:rFonts w:ascii="Times New Roman" w:eastAsia="Times New Roman" w:hAnsi="Times New Roman" w:cs="Times New Roman"/>
          <w:kern w:val="0"/>
          <w14:ligatures w14:val="none"/>
        </w:rPr>
        <w:t>”</w:t>
      </w:r>
      <w:r w:rsidRPr="008E6444">
        <w:rPr>
          <w:rFonts w:ascii="Times New Roman" w:eastAsia="Times New Roman" w:hAnsi="Times New Roman" w:cs="Times New Roman"/>
          <w:kern w:val="0"/>
          <w14:ligatures w14:val="none"/>
        </w:rPr>
        <w:t xml:space="preserve"> </w:t>
      </w:r>
      <w:r w:rsidR="000E7881">
        <w:rPr>
          <w:rFonts w:ascii="Times New Roman" w:eastAsia="Times New Roman" w:hAnsi="Times New Roman" w:cs="Times New Roman"/>
          <w:kern w:val="0"/>
          <w14:ligatures w14:val="none"/>
        </w:rPr>
        <w:t>was</w:t>
      </w:r>
      <w:r w:rsidRPr="008E6444">
        <w:rPr>
          <w:rFonts w:ascii="Times New Roman" w:eastAsia="Times New Roman" w:hAnsi="Times New Roman" w:cs="Times New Roman"/>
          <w:kern w:val="0"/>
          <w14:ligatures w14:val="none"/>
        </w:rPr>
        <w:t xml:space="preserve"> a fair use because it commented on the original and added a new expression or message.</w:t>
      </w:r>
      <w:r>
        <w:rPr>
          <w:rStyle w:val="FootnoteReference"/>
          <w:rFonts w:ascii="Times New Roman" w:eastAsia="Times New Roman" w:hAnsi="Times New Roman" w:cs="Times New Roman"/>
          <w:kern w:val="0"/>
          <w14:ligatures w14:val="none"/>
        </w:rPr>
        <w:footnoteReference w:id="74"/>
      </w:r>
      <w:r w:rsidRPr="008E6444">
        <w:rPr>
          <w:rFonts w:ascii="Times New Roman" w:eastAsia="Times New Roman" w:hAnsi="Times New Roman" w:cs="Times New Roman"/>
          <w:kern w:val="0"/>
          <w14:ligatures w14:val="none"/>
        </w:rPr>
        <w:t xml:space="preserve"> This shift emphasized that </w:t>
      </w:r>
      <w:r w:rsidRPr="008E6444">
        <w:rPr>
          <w:rFonts w:ascii="Times New Roman" w:eastAsia="Times New Roman" w:hAnsi="Times New Roman" w:cs="Times New Roman"/>
          <w:kern w:val="0"/>
          <w14:ligatures w14:val="none"/>
        </w:rPr>
        <w:lastRenderedPageBreak/>
        <w:t xml:space="preserve">the question is not how much was taken, but </w:t>
      </w:r>
      <w:r w:rsidR="003E1795">
        <w:rPr>
          <w:rFonts w:ascii="Times New Roman" w:eastAsia="Times New Roman" w:hAnsi="Times New Roman" w:cs="Times New Roman"/>
          <w:kern w:val="0"/>
          <w14:ligatures w14:val="none"/>
        </w:rPr>
        <w:t>rather to what end i</w:t>
      </w:r>
      <w:r w:rsidR="00C86B17">
        <w:rPr>
          <w:rFonts w:ascii="Times New Roman" w:eastAsia="Times New Roman" w:hAnsi="Times New Roman" w:cs="Times New Roman"/>
          <w:kern w:val="0"/>
          <w14:ligatures w14:val="none"/>
        </w:rPr>
        <w:t>t i</w:t>
      </w:r>
      <w:r w:rsidR="003E1795">
        <w:rPr>
          <w:rFonts w:ascii="Times New Roman" w:eastAsia="Times New Roman" w:hAnsi="Times New Roman" w:cs="Times New Roman"/>
          <w:kern w:val="0"/>
          <w14:ligatures w14:val="none"/>
        </w:rPr>
        <w:t>s taken and used: has it transformed into something else?</w:t>
      </w:r>
      <w:r w:rsidRPr="008E6444">
        <w:rPr>
          <w:rFonts w:ascii="Times New Roman" w:eastAsia="Times New Roman" w:hAnsi="Times New Roman" w:cs="Times New Roman"/>
          <w:kern w:val="0"/>
          <w14:ligatures w14:val="none"/>
        </w:rPr>
        <w:t xml:space="preserve"> </w:t>
      </w:r>
      <w:r w:rsidR="00691C5B">
        <w:rPr>
          <w:rFonts w:ascii="Times New Roman" w:eastAsia="Times New Roman" w:hAnsi="Times New Roman" w:cs="Times New Roman"/>
          <w:kern w:val="0"/>
          <w14:ligatures w14:val="none"/>
        </w:rPr>
        <w:t>Subsequent</w:t>
      </w:r>
      <w:r w:rsidRPr="008E6444">
        <w:rPr>
          <w:rFonts w:ascii="Times New Roman" w:eastAsia="Times New Roman" w:hAnsi="Times New Roman" w:cs="Times New Roman"/>
          <w:kern w:val="0"/>
          <w14:ligatures w14:val="none"/>
        </w:rPr>
        <w:t xml:space="preserve"> decisions extended </w:t>
      </w:r>
      <w:r w:rsidRPr="008E6444">
        <w:rPr>
          <w:rFonts w:ascii="Times New Roman" w:eastAsia="Times New Roman" w:hAnsi="Times New Roman" w:cs="Times New Roman"/>
          <w:i/>
          <w:iCs/>
          <w:kern w:val="0"/>
          <w14:ligatures w14:val="none"/>
        </w:rPr>
        <w:t>Campbell</w:t>
      </w:r>
      <w:r w:rsidRPr="008E6444">
        <w:rPr>
          <w:rFonts w:ascii="Times New Roman" w:eastAsia="Times New Roman" w:hAnsi="Times New Roman" w:cs="Times New Roman"/>
          <w:kern w:val="0"/>
          <w14:ligatures w14:val="none"/>
        </w:rPr>
        <w:t xml:space="preserve">’s reasoning far beyond parody. Cases such as </w:t>
      </w:r>
      <w:r w:rsidRPr="008E6444">
        <w:rPr>
          <w:rFonts w:ascii="Times New Roman" w:eastAsia="Times New Roman" w:hAnsi="Times New Roman" w:cs="Times New Roman"/>
          <w:i/>
          <w:iCs/>
          <w:kern w:val="0"/>
          <w14:ligatures w14:val="none"/>
        </w:rPr>
        <w:t>Bill Graham Archives v. Dorling Kindersley Ltd.</w:t>
      </w:r>
      <w:r>
        <w:rPr>
          <w:rStyle w:val="FootnoteReference"/>
          <w:rFonts w:ascii="Times New Roman" w:eastAsia="Times New Roman" w:hAnsi="Times New Roman" w:cs="Times New Roman"/>
          <w:i/>
          <w:iCs/>
          <w:kern w:val="0"/>
          <w14:ligatures w14:val="none"/>
        </w:rPr>
        <w:footnoteReference w:id="75"/>
      </w:r>
      <w:r w:rsidRPr="008E6444">
        <w:rPr>
          <w:rFonts w:ascii="Times New Roman" w:eastAsia="Times New Roman" w:hAnsi="Times New Roman" w:cs="Times New Roman"/>
          <w:kern w:val="0"/>
          <w14:ligatures w14:val="none"/>
        </w:rPr>
        <w:t xml:space="preserve"> and </w:t>
      </w:r>
      <w:bookmarkStart w:id="29" w:name="_Hlk218715283"/>
      <w:r w:rsidRPr="008E6444">
        <w:rPr>
          <w:rFonts w:ascii="Times New Roman" w:eastAsia="Times New Roman" w:hAnsi="Times New Roman" w:cs="Times New Roman"/>
          <w:i/>
          <w:iCs/>
          <w:kern w:val="0"/>
          <w14:ligatures w14:val="none"/>
        </w:rPr>
        <w:t>Authors Guild v. Google, Inc</w:t>
      </w:r>
      <w:bookmarkEnd w:id="29"/>
      <w:r w:rsidRPr="008E6444">
        <w:rPr>
          <w:rFonts w:ascii="Times New Roman" w:eastAsia="Times New Roman" w:hAnsi="Times New Roman" w:cs="Times New Roman"/>
          <w:i/>
          <w:iCs/>
          <w:kern w:val="0"/>
          <w14:ligatures w14:val="none"/>
        </w:rPr>
        <w:t>.</w:t>
      </w:r>
      <w:r>
        <w:rPr>
          <w:rStyle w:val="FootnoteReference"/>
          <w:rFonts w:ascii="Times New Roman" w:eastAsia="Times New Roman" w:hAnsi="Times New Roman" w:cs="Times New Roman"/>
          <w:i/>
          <w:iCs/>
          <w:kern w:val="0"/>
          <w14:ligatures w14:val="none"/>
        </w:rPr>
        <w:footnoteReference w:id="76"/>
      </w:r>
      <w:r w:rsidRPr="008E6444">
        <w:rPr>
          <w:rFonts w:ascii="Times New Roman" w:eastAsia="Times New Roman" w:hAnsi="Times New Roman" w:cs="Times New Roman"/>
          <w:kern w:val="0"/>
          <w14:ligatures w14:val="none"/>
        </w:rPr>
        <w:t xml:space="preserve"> found transformative use where copying served a different informational or technological purpose. The </w:t>
      </w:r>
      <w:r w:rsidRPr="008E6444">
        <w:rPr>
          <w:rFonts w:ascii="Times New Roman" w:eastAsia="Times New Roman" w:hAnsi="Times New Roman" w:cs="Times New Roman"/>
          <w:i/>
          <w:iCs/>
          <w:kern w:val="0"/>
          <w14:ligatures w14:val="none"/>
        </w:rPr>
        <w:t>Google</w:t>
      </w:r>
      <w:r w:rsidR="006C69DB">
        <w:rPr>
          <w:rFonts w:ascii="Times New Roman" w:eastAsia="Times New Roman" w:hAnsi="Times New Roman" w:cs="Times New Roman"/>
          <w:i/>
          <w:iCs/>
          <w:kern w:val="0"/>
          <w14:ligatures w14:val="none"/>
        </w:rPr>
        <w:t xml:space="preserve"> Books</w:t>
      </w:r>
      <w:r w:rsidRPr="008E6444">
        <w:rPr>
          <w:rFonts w:ascii="Times New Roman" w:eastAsia="Times New Roman" w:hAnsi="Times New Roman" w:cs="Times New Roman"/>
          <w:kern w:val="0"/>
          <w14:ligatures w14:val="none"/>
        </w:rPr>
        <w:t xml:space="preserve"> decision in particular recognized that wholesale digitization of books for search indexing was “highly transformative” because it enabled new analysis without substituting for the originals.</w:t>
      </w:r>
      <w:r w:rsidR="00AC4754">
        <w:rPr>
          <w:rStyle w:val="FootnoteReference"/>
          <w:rFonts w:ascii="Times New Roman" w:eastAsia="Times New Roman" w:hAnsi="Times New Roman" w:cs="Times New Roman"/>
          <w:kern w:val="0"/>
          <w14:ligatures w14:val="none"/>
        </w:rPr>
        <w:footnoteReference w:id="77"/>
      </w:r>
    </w:p>
    <w:p w14:paraId="606BD246" w14:textId="3AA39E33" w:rsidR="003D2920" w:rsidRPr="008E6444" w:rsidRDefault="003D2920" w:rsidP="003D2920">
      <w:pPr>
        <w:spacing w:before="100" w:beforeAutospacing="1" w:after="100" w:afterAutospacing="1" w:line="240" w:lineRule="auto"/>
        <w:rPr>
          <w:rFonts w:ascii="Times New Roman" w:eastAsia="Times New Roman" w:hAnsi="Times New Roman" w:cs="Times New Roman"/>
          <w:kern w:val="0"/>
          <w14:ligatures w14:val="none"/>
        </w:rPr>
      </w:pPr>
      <w:r w:rsidRPr="008E6444">
        <w:rPr>
          <w:rFonts w:ascii="Times New Roman" w:eastAsia="Times New Roman" w:hAnsi="Times New Roman" w:cs="Times New Roman"/>
          <w:i/>
          <w:iCs/>
          <w:kern w:val="0"/>
          <w14:ligatures w14:val="none"/>
        </w:rPr>
        <w:t>Campbell</w:t>
      </w:r>
      <w:r w:rsidRPr="008E644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also </w:t>
      </w:r>
      <w:r w:rsidRPr="008E6444">
        <w:rPr>
          <w:rFonts w:ascii="Times New Roman" w:eastAsia="Times New Roman" w:hAnsi="Times New Roman" w:cs="Times New Roman"/>
          <w:kern w:val="0"/>
          <w14:ligatures w14:val="none"/>
        </w:rPr>
        <w:t>required a more nuanced inquiry into meaning and message.</w:t>
      </w:r>
      <w:r>
        <w:rPr>
          <w:rStyle w:val="FootnoteReference"/>
          <w:rFonts w:ascii="Times New Roman" w:eastAsia="Times New Roman" w:hAnsi="Times New Roman" w:cs="Times New Roman"/>
          <w:kern w:val="0"/>
          <w14:ligatures w14:val="none"/>
        </w:rPr>
        <w:footnoteReference w:id="78"/>
      </w:r>
      <w:r w:rsidRPr="008E6444">
        <w:rPr>
          <w:rFonts w:ascii="Times New Roman" w:eastAsia="Times New Roman" w:hAnsi="Times New Roman" w:cs="Times New Roman"/>
          <w:kern w:val="0"/>
          <w14:ligatures w14:val="none"/>
        </w:rPr>
        <w:t xml:space="preserve"> The decision drew on </w:t>
      </w:r>
      <w:r w:rsidRPr="008E6444">
        <w:rPr>
          <w:rFonts w:ascii="Times New Roman" w:eastAsia="Times New Roman" w:hAnsi="Times New Roman" w:cs="Times New Roman"/>
          <w:i/>
          <w:iCs/>
          <w:kern w:val="0"/>
          <w14:ligatures w14:val="none"/>
        </w:rPr>
        <w:t>Bleistein v. Donaldson Lithographing Co.</w:t>
      </w:r>
      <w:r>
        <w:rPr>
          <w:rFonts w:ascii="Times New Roman" w:eastAsia="Times New Roman" w:hAnsi="Times New Roman" w:cs="Times New Roman"/>
          <w:kern w:val="0"/>
          <w14:ligatures w14:val="none"/>
        </w:rPr>
        <w:t xml:space="preserve"> </w:t>
      </w:r>
      <w:r w:rsidRPr="008E6444">
        <w:rPr>
          <w:rFonts w:ascii="Times New Roman" w:eastAsia="Times New Roman" w:hAnsi="Times New Roman" w:cs="Times New Roman"/>
          <w:kern w:val="0"/>
          <w14:ligatures w14:val="none"/>
        </w:rPr>
        <w:t>to reaffirm that courts should not judge aesthetic merit but must assess whether a new work “adds something new, with a further purpose or different character.”</w:t>
      </w:r>
      <w:r>
        <w:rPr>
          <w:rStyle w:val="FootnoteReference"/>
          <w:rFonts w:ascii="Times New Roman" w:eastAsia="Times New Roman" w:hAnsi="Times New Roman" w:cs="Times New Roman"/>
          <w:kern w:val="0"/>
          <w14:ligatures w14:val="none"/>
        </w:rPr>
        <w:footnoteReference w:id="79"/>
      </w:r>
      <w:r w:rsidRPr="008E6444">
        <w:rPr>
          <w:rFonts w:ascii="Times New Roman" w:eastAsia="Times New Roman" w:hAnsi="Times New Roman" w:cs="Times New Roman"/>
          <w:kern w:val="0"/>
          <w14:ligatures w14:val="none"/>
        </w:rPr>
        <w:t xml:space="preserve"> This flexible approach paved the way for later music cases such as </w:t>
      </w:r>
      <w:r w:rsidRPr="008E6444">
        <w:rPr>
          <w:rFonts w:ascii="Times New Roman" w:eastAsia="Times New Roman" w:hAnsi="Times New Roman" w:cs="Times New Roman"/>
          <w:i/>
          <w:iCs/>
          <w:kern w:val="0"/>
          <w14:ligatures w14:val="none"/>
        </w:rPr>
        <w:t>Bridgeport Music, Inc. v. Dimension Films</w:t>
      </w:r>
      <w:r>
        <w:rPr>
          <w:rStyle w:val="FootnoteReference"/>
          <w:rFonts w:ascii="Times New Roman" w:eastAsia="Times New Roman" w:hAnsi="Times New Roman" w:cs="Times New Roman"/>
          <w:i/>
          <w:iCs/>
          <w:kern w:val="0"/>
          <w14:ligatures w14:val="none"/>
        </w:rPr>
        <w:footnoteReference w:id="80"/>
      </w:r>
      <w:r w:rsidRPr="008E6444">
        <w:rPr>
          <w:rFonts w:ascii="Times New Roman" w:eastAsia="Times New Roman" w:hAnsi="Times New Roman" w:cs="Times New Roman"/>
          <w:kern w:val="0"/>
          <w14:ligatures w14:val="none"/>
        </w:rPr>
        <w:t xml:space="preserve"> and </w:t>
      </w:r>
      <w:r w:rsidRPr="008E6444">
        <w:rPr>
          <w:rFonts w:ascii="Times New Roman" w:eastAsia="Times New Roman" w:hAnsi="Times New Roman" w:cs="Times New Roman"/>
          <w:i/>
          <w:iCs/>
          <w:kern w:val="0"/>
          <w14:ligatures w14:val="none"/>
        </w:rPr>
        <w:t>VMG Salsoul, LLC v. Ciccone</w:t>
      </w:r>
      <w:r w:rsidRPr="008E6444">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81"/>
      </w:r>
      <w:r w:rsidRPr="008E6444">
        <w:rPr>
          <w:rFonts w:ascii="Times New Roman" w:eastAsia="Times New Roman" w:hAnsi="Times New Roman" w:cs="Times New Roman"/>
          <w:kern w:val="0"/>
          <w14:ligatures w14:val="none"/>
        </w:rPr>
        <w:t xml:space="preserve"> which struggled to apply </w:t>
      </w:r>
      <w:r w:rsidRPr="008E6444">
        <w:rPr>
          <w:rFonts w:ascii="Times New Roman" w:eastAsia="Times New Roman" w:hAnsi="Times New Roman" w:cs="Times New Roman"/>
          <w:i/>
          <w:iCs/>
          <w:kern w:val="0"/>
          <w14:ligatures w14:val="none"/>
        </w:rPr>
        <w:t>Campbell</w:t>
      </w:r>
      <w:r w:rsidRPr="008E6444">
        <w:rPr>
          <w:rFonts w:ascii="Times New Roman" w:eastAsia="Times New Roman" w:hAnsi="Times New Roman" w:cs="Times New Roman"/>
          <w:kern w:val="0"/>
          <w14:ligatures w14:val="none"/>
        </w:rPr>
        <w:t xml:space="preserve">’s qualitative lens to digital sampling. Although </w:t>
      </w:r>
      <w:r w:rsidRPr="008E6444">
        <w:rPr>
          <w:rFonts w:ascii="Times New Roman" w:eastAsia="Times New Roman" w:hAnsi="Times New Roman" w:cs="Times New Roman"/>
          <w:i/>
          <w:iCs/>
          <w:kern w:val="0"/>
          <w14:ligatures w14:val="none"/>
        </w:rPr>
        <w:t>Bridgeport</w:t>
      </w:r>
      <w:r w:rsidRPr="008E6444">
        <w:rPr>
          <w:rFonts w:ascii="Times New Roman" w:eastAsia="Times New Roman" w:hAnsi="Times New Roman" w:cs="Times New Roman"/>
          <w:kern w:val="0"/>
          <w14:ligatures w14:val="none"/>
        </w:rPr>
        <w:t xml:space="preserve"> adopted a rigid “get a license or do not sample” rule,</w:t>
      </w:r>
      <w:r>
        <w:rPr>
          <w:rStyle w:val="FootnoteReference"/>
          <w:rFonts w:ascii="Times New Roman" w:eastAsia="Times New Roman" w:hAnsi="Times New Roman" w:cs="Times New Roman"/>
          <w:kern w:val="0"/>
          <w14:ligatures w14:val="none"/>
        </w:rPr>
        <w:footnoteReference w:id="82"/>
      </w:r>
      <w:r w:rsidRPr="008E6444">
        <w:rPr>
          <w:rFonts w:ascii="Times New Roman" w:eastAsia="Times New Roman" w:hAnsi="Times New Roman" w:cs="Times New Roman"/>
          <w:kern w:val="0"/>
          <w14:ligatures w14:val="none"/>
        </w:rPr>
        <w:t xml:space="preserve"> </w:t>
      </w:r>
      <w:r w:rsidRPr="008E6444">
        <w:rPr>
          <w:rFonts w:ascii="Times New Roman" w:eastAsia="Times New Roman" w:hAnsi="Times New Roman" w:cs="Times New Roman"/>
          <w:i/>
          <w:iCs/>
          <w:kern w:val="0"/>
          <w14:ligatures w14:val="none"/>
        </w:rPr>
        <w:t>VMG Salsoul</w:t>
      </w:r>
      <w:r w:rsidRPr="008E6444">
        <w:rPr>
          <w:rFonts w:ascii="Times New Roman" w:eastAsia="Times New Roman" w:hAnsi="Times New Roman" w:cs="Times New Roman"/>
          <w:kern w:val="0"/>
          <w14:ligatures w14:val="none"/>
        </w:rPr>
        <w:t xml:space="preserve"> restored </w:t>
      </w:r>
      <w:r w:rsidRPr="008E6444">
        <w:rPr>
          <w:rFonts w:ascii="Times New Roman" w:eastAsia="Times New Roman" w:hAnsi="Times New Roman" w:cs="Times New Roman"/>
          <w:i/>
          <w:iCs/>
          <w:kern w:val="0"/>
          <w14:ligatures w14:val="none"/>
        </w:rPr>
        <w:t>Campbell</w:t>
      </w:r>
      <w:r w:rsidRPr="008E6444">
        <w:rPr>
          <w:rFonts w:ascii="Times New Roman" w:eastAsia="Times New Roman" w:hAnsi="Times New Roman" w:cs="Times New Roman"/>
          <w:kern w:val="0"/>
          <w14:ligatures w14:val="none"/>
        </w:rPr>
        <w:t>’s balancing by holding that de minimis copying of a horn hit was not infringing because it lacked expressive significance.</w:t>
      </w:r>
      <w:r>
        <w:rPr>
          <w:rStyle w:val="FootnoteReference"/>
          <w:rFonts w:ascii="Times New Roman" w:eastAsia="Times New Roman" w:hAnsi="Times New Roman" w:cs="Times New Roman"/>
          <w:kern w:val="0"/>
          <w14:ligatures w14:val="none"/>
        </w:rPr>
        <w:footnoteReference w:id="83"/>
      </w:r>
    </w:p>
    <w:p w14:paraId="53B5D64F" w14:textId="5DA74959" w:rsidR="008E6DA3" w:rsidRPr="008E6444" w:rsidRDefault="00881C1A" w:rsidP="008E6DA3">
      <w:pPr>
        <w:spacing w:before="100" w:beforeAutospacing="1" w:after="100" w:afterAutospacing="1" w:line="240" w:lineRule="auto"/>
        <w:rPr>
          <w:rFonts w:ascii="Times New Roman" w:eastAsia="Times New Roman" w:hAnsi="Times New Roman" w:cs="Times New Roman"/>
          <w:kern w:val="0"/>
          <w14:ligatures w14:val="none"/>
        </w:rPr>
      </w:pPr>
      <w:r w:rsidRPr="00881C1A">
        <w:rPr>
          <w:rFonts w:ascii="Times New Roman" w:eastAsia="Times New Roman" w:hAnsi="Times New Roman" w:cs="Times New Roman"/>
          <w:i/>
          <w:kern w:val="0"/>
          <w14:ligatures w14:val="none"/>
        </w:rPr>
        <w:t>Campbell’s</w:t>
      </w:r>
      <w:r w:rsidR="008E6DA3" w:rsidRPr="008E6444">
        <w:rPr>
          <w:rFonts w:ascii="Times New Roman" w:eastAsia="Times New Roman" w:hAnsi="Times New Roman" w:cs="Times New Roman"/>
          <w:kern w:val="0"/>
          <w14:ligatures w14:val="none"/>
        </w:rPr>
        <w:t xml:space="preserve"> “transformative turn” thus reframed fair use as a question of functional repurposing. A use need not comment on the original; it may instead convert it to a new medium, context, or analytical frame. This doctrinal elasticity proved crucial as courts faced new creative technologies—from collage art to software interfaces—and now provides </w:t>
      </w:r>
      <w:r w:rsidR="0090545B">
        <w:rPr>
          <w:rFonts w:ascii="Times New Roman" w:eastAsia="Times New Roman" w:hAnsi="Times New Roman" w:cs="Times New Roman"/>
          <w:kern w:val="0"/>
          <w14:ligatures w14:val="none"/>
        </w:rPr>
        <w:t>a</w:t>
      </w:r>
      <w:r w:rsidR="008E6DA3" w:rsidRPr="008E6444">
        <w:rPr>
          <w:rFonts w:ascii="Times New Roman" w:eastAsia="Times New Roman" w:hAnsi="Times New Roman" w:cs="Times New Roman"/>
          <w:kern w:val="0"/>
          <w14:ligatures w14:val="none"/>
        </w:rPr>
        <w:t xml:space="preserve"> doctrinal bridge to AI training and output.</w:t>
      </w:r>
    </w:p>
    <w:p w14:paraId="4253951E" w14:textId="0007E677" w:rsidR="008E6DA3" w:rsidRPr="008E6444" w:rsidRDefault="00C366F8" w:rsidP="008E6DA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 w:name="_Toc220693055"/>
      <w:r>
        <w:rPr>
          <w:rFonts w:ascii="Times New Roman" w:eastAsia="Times New Roman" w:hAnsi="Times New Roman" w:cs="Times New Roman"/>
          <w:b/>
          <w:bCs/>
          <w:kern w:val="0"/>
          <w:sz w:val="27"/>
          <w:szCs w:val="27"/>
          <w14:ligatures w14:val="none"/>
        </w:rPr>
        <w:t>C</w:t>
      </w:r>
      <w:r w:rsidR="008E6DA3" w:rsidRPr="008E6444">
        <w:rPr>
          <w:rFonts w:ascii="Times New Roman" w:eastAsia="Times New Roman" w:hAnsi="Times New Roman" w:cs="Times New Roman"/>
          <w:b/>
          <w:bCs/>
          <w:kern w:val="0"/>
          <w:sz w:val="27"/>
          <w:szCs w:val="27"/>
          <w14:ligatures w14:val="none"/>
        </w:rPr>
        <w:t>.</w:t>
      </w:r>
      <w:r w:rsidR="00881C1A">
        <w:rPr>
          <w:rFonts w:ascii="Times New Roman" w:eastAsia="Times New Roman" w:hAnsi="Times New Roman" w:cs="Times New Roman"/>
          <w:b/>
          <w:bCs/>
          <w:kern w:val="0"/>
          <w:sz w:val="27"/>
          <w:szCs w:val="27"/>
          <w14:ligatures w14:val="none"/>
        </w:rPr>
        <w:t xml:space="preserve"> </w:t>
      </w:r>
      <w:r w:rsidRPr="00C366F8">
        <w:rPr>
          <w:rFonts w:ascii="Times New Roman" w:eastAsia="Times New Roman" w:hAnsi="Times New Roman" w:cs="Times New Roman"/>
          <w:b/>
          <w:bCs/>
          <w:i/>
          <w:kern w:val="0"/>
          <w:sz w:val="27"/>
          <w:szCs w:val="27"/>
          <w14:ligatures w14:val="none"/>
        </w:rPr>
        <w:t>Warhol</w:t>
      </w:r>
      <w:r w:rsidR="00E72F34">
        <w:rPr>
          <w:rFonts w:ascii="Times New Roman" w:eastAsia="Times New Roman" w:hAnsi="Times New Roman" w:cs="Times New Roman"/>
          <w:b/>
          <w:bCs/>
          <w:kern w:val="0"/>
          <w:sz w:val="27"/>
          <w:szCs w:val="27"/>
          <w14:ligatures w14:val="none"/>
        </w:rPr>
        <w:t>, Market Effect</w:t>
      </w:r>
      <w:r w:rsidR="008E6DA3" w:rsidRPr="008E6444">
        <w:rPr>
          <w:rFonts w:ascii="Times New Roman" w:eastAsia="Times New Roman" w:hAnsi="Times New Roman" w:cs="Times New Roman"/>
          <w:b/>
          <w:bCs/>
          <w:kern w:val="0"/>
          <w:sz w:val="27"/>
          <w:szCs w:val="27"/>
          <w14:ligatures w14:val="none"/>
        </w:rPr>
        <w:t xml:space="preserve"> and AI</w:t>
      </w:r>
      <w:bookmarkEnd w:id="30"/>
    </w:p>
    <w:p w14:paraId="1B8C7B63" w14:textId="1CC44809" w:rsidR="008E6DA3" w:rsidRPr="008E6444" w:rsidRDefault="008E6DA3" w:rsidP="008E6DA3">
      <w:pPr>
        <w:spacing w:before="100" w:beforeAutospacing="1" w:after="100" w:afterAutospacing="1" w:line="240" w:lineRule="auto"/>
        <w:rPr>
          <w:rFonts w:ascii="Times New Roman" w:eastAsia="Times New Roman" w:hAnsi="Times New Roman" w:cs="Times New Roman"/>
          <w:kern w:val="0"/>
          <w14:ligatures w14:val="none"/>
        </w:rPr>
      </w:pPr>
      <w:r w:rsidRPr="008E6444">
        <w:rPr>
          <w:rFonts w:ascii="Times New Roman" w:eastAsia="Times New Roman" w:hAnsi="Times New Roman" w:cs="Times New Roman"/>
          <w:kern w:val="0"/>
          <w14:ligatures w14:val="none"/>
        </w:rPr>
        <w:t xml:space="preserve">Generative AI systems test </w:t>
      </w:r>
      <w:r w:rsidRPr="008E6444">
        <w:rPr>
          <w:rFonts w:ascii="Times New Roman" w:eastAsia="Times New Roman" w:hAnsi="Times New Roman" w:cs="Times New Roman"/>
          <w:i/>
          <w:iCs/>
          <w:kern w:val="0"/>
          <w14:ligatures w14:val="none"/>
        </w:rPr>
        <w:t>Campbell</w:t>
      </w:r>
      <w:r w:rsidRPr="008E6444">
        <w:rPr>
          <w:rFonts w:ascii="Times New Roman" w:eastAsia="Times New Roman" w:hAnsi="Times New Roman" w:cs="Times New Roman"/>
          <w:kern w:val="0"/>
          <w14:ligatures w14:val="none"/>
        </w:rPr>
        <w:t xml:space="preserve">’s logic at scale. Training involves copying vast numbers of works to extract patterns and structures, not to replicate expressive content. The question, as in </w:t>
      </w:r>
      <w:r w:rsidR="006C69DB">
        <w:rPr>
          <w:rFonts w:ascii="Times New Roman" w:eastAsia="Times New Roman" w:hAnsi="Times New Roman" w:cs="Times New Roman"/>
          <w:i/>
          <w:iCs/>
          <w:kern w:val="0"/>
          <w14:ligatures w14:val="none"/>
        </w:rPr>
        <w:t>Google Books</w:t>
      </w:r>
      <w:r w:rsidRPr="008E6444">
        <w:rPr>
          <w:rFonts w:ascii="Times New Roman" w:eastAsia="Times New Roman" w:hAnsi="Times New Roman" w:cs="Times New Roman"/>
          <w:kern w:val="0"/>
          <w14:ligatures w14:val="none"/>
        </w:rPr>
        <w:t xml:space="preserve">, is whether such use is analytically transformative—serving a new function rather </w:t>
      </w:r>
      <w:r w:rsidRPr="008E6444">
        <w:rPr>
          <w:rFonts w:ascii="Times New Roman" w:eastAsia="Times New Roman" w:hAnsi="Times New Roman" w:cs="Times New Roman"/>
          <w:kern w:val="0"/>
          <w14:ligatures w14:val="none"/>
        </w:rPr>
        <w:lastRenderedPageBreak/>
        <w:t>than substituting for the originals.</w:t>
      </w:r>
      <w:r>
        <w:rPr>
          <w:rStyle w:val="FootnoteReference"/>
          <w:rFonts w:ascii="Times New Roman" w:eastAsia="Times New Roman" w:hAnsi="Times New Roman" w:cs="Times New Roman"/>
          <w:kern w:val="0"/>
          <w14:ligatures w14:val="none"/>
        </w:rPr>
        <w:footnoteReference w:id="84"/>
      </w:r>
      <w:r w:rsidRPr="008E6444">
        <w:rPr>
          <w:rFonts w:ascii="Times New Roman" w:eastAsia="Times New Roman" w:hAnsi="Times New Roman" w:cs="Times New Roman"/>
          <w:kern w:val="0"/>
          <w14:ligatures w14:val="none"/>
        </w:rPr>
        <w:t xml:space="preserve"> If the ingestion of works merely teaches the system relationships among styles, themes, or techniques, the use may resemble study rather than exploitation.</w:t>
      </w:r>
    </w:p>
    <w:p w14:paraId="342DEBA0" w14:textId="712BFA98" w:rsidR="00D36C21" w:rsidRDefault="00F01D68" w:rsidP="008E6DA3">
      <w:pPr>
        <w:spacing w:before="100" w:beforeAutospacing="1" w:after="100" w:afterAutospacing="1" w:line="240" w:lineRule="auto"/>
        <w:rPr>
          <w:rFonts w:ascii="Times New Roman" w:eastAsia="Times New Roman" w:hAnsi="Times New Roman" w:cs="Times New Roman"/>
          <w:kern w:val="0"/>
          <w14:ligatures w14:val="none"/>
        </w:rPr>
      </w:pPr>
      <w:r w:rsidRPr="00F01D68">
        <w:rPr>
          <w:rFonts w:ascii="Times New Roman" w:eastAsia="Times New Roman" w:hAnsi="Times New Roman" w:cs="Times New Roman"/>
          <w:kern w:val="0"/>
          <w14:ligatures w14:val="none"/>
        </w:rPr>
        <w:t xml:space="preserve">When AI outputs are challenged as derivative, courts will </w:t>
      </w:r>
      <w:r w:rsidR="001D643F">
        <w:rPr>
          <w:rFonts w:ascii="Times New Roman" w:eastAsia="Times New Roman" w:hAnsi="Times New Roman" w:cs="Times New Roman"/>
          <w:kern w:val="0"/>
          <w14:ligatures w14:val="none"/>
        </w:rPr>
        <w:t xml:space="preserve">necessarily </w:t>
      </w:r>
      <w:r w:rsidRPr="00F01D68">
        <w:rPr>
          <w:rFonts w:ascii="Times New Roman" w:eastAsia="Times New Roman" w:hAnsi="Times New Roman" w:cs="Times New Roman"/>
          <w:kern w:val="0"/>
          <w14:ligatures w14:val="none"/>
        </w:rPr>
        <w:t xml:space="preserve">confront </w:t>
      </w:r>
      <w:r w:rsidR="001D643F" w:rsidRPr="001C1240">
        <w:rPr>
          <w:rFonts w:ascii="Times New Roman" w:eastAsia="Times New Roman" w:hAnsi="Times New Roman" w:cs="Times New Roman"/>
          <w:i/>
          <w:iCs/>
          <w:kern w:val="0"/>
          <w14:ligatures w14:val="none"/>
        </w:rPr>
        <w:t>Andy Warhol Foundation for the Visual Arts, Inc. v. Goldsmith</w:t>
      </w:r>
      <w:r w:rsidR="001D643F">
        <w:rPr>
          <w:rFonts w:ascii="Times New Roman" w:eastAsia="Times New Roman" w:hAnsi="Times New Roman" w:cs="Times New Roman"/>
          <w:iCs/>
          <w:kern w:val="0"/>
          <w14:ligatures w14:val="none"/>
        </w:rPr>
        <w:t>,</w:t>
      </w:r>
      <w:r w:rsidRPr="00F01D68">
        <w:rPr>
          <w:rFonts w:ascii="Times New Roman" w:eastAsia="Times New Roman" w:hAnsi="Times New Roman" w:cs="Times New Roman"/>
          <w:kern w:val="0"/>
          <w14:ligatures w14:val="none"/>
        </w:rPr>
        <w:t xml:space="preserve"> which recalibrated the transformative inquiry.</w:t>
      </w:r>
      <w:r w:rsidR="00EA7532">
        <w:rPr>
          <w:rStyle w:val="FootnoteReference"/>
          <w:rFonts w:ascii="Times New Roman" w:eastAsia="Times New Roman" w:hAnsi="Times New Roman" w:cs="Times New Roman"/>
          <w:kern w:val="0"/>
          <w14:ligatures w14:val="none"/>
        </w:rPr>
        <w:footnoteReference w:id="85"/>
      </w:r>
      <w:r w:rsidRPr="00F01D68">
        <w:rPr>
          <w:rFonts w:ascii="Times New Roman" w:eastAsia="Times New Roman" w:hAnsi="Times New Roman" w:cs="Times New Roman"/>
          <w:kern w:val="0"/>
          <w14:ligatures w14:val="none"/>
        </w:rPr>
        <w:t xml:space="preserve"> </w:t>
      </w:r>
      <w:r w:rsidR="00D36C21">
        <w:rPr>
          <w:rFonts w:ascii="Times New Roman" w:eastAsia="Times New Roman" w:hAnsi="Times New Roman" w:cs="Times New Roman"/>
          <w:kern w:val="0"/>
          <w14:ligatures w14:val="none"/>
        </w:rPr>
        <w:t xml:space="preserve">The Court </w:t>
      </w:r>
      <w:r w:rsidR="00AA2AA8">
        <w:rPr>
          <w:rFonts w:ascii="Times New Roman" w:eastAsia="Times New Roman" w:hAnsi="Times New Roman" w:cs="Times New Roman"/>
          <w:kern w:val="0"/>
          <w14:ligatures w14:val="none"/>
        </w:rPr>
        <w:t>warn</w:t>
      </w:r>
      <w:r w:rsidR="00D36C21">
        <w:rPr>
          <w:rFonts w:ascii="Times New Roman" w:eastAsia="Times New Roman" w:hAnsi="Times New Roman" w:cs="Times New Roman"/>
          <w:kern w:val="0"/>
          <w14:ligatures w14:val="none"/>
        </w:rPr>
        <w:t xml:space="preserve">ed that </w:t>
      </w:r>
      <w:r w:rsidR="00D36C21" w:rsidRPr="00AA2AA8">
        <w:rPr>
          <w:rFonts w:ascii="Times New Roman" w:eastAsia="Times New Roman" w:hAnsi="Times New Roman" w:cs="Times New Roman"/>
          <w:i/>
          <w:kern w:val="0"/>
          <w14:ligatures w14:val="none"/>
        </w:rPr>
        <w:t>Cam</w:t>
      </w:r>
      <w:r w:rsidR="00AA2AA8" w:rsidRPr="00AA2AA8">
        <w:rPr>
          <w:rFonts w:ascii="Times New Roman" w:eastAsia="Times New Roman" w:hAnsi="Times New Roman" w:cs="Times New Roman"/>
          <w:i/>
          <w:kern w:val="0"/>
          <w14:ligatures w14:val="none"/>
        </w:rPr>
        <w:t>p</w:t>
      </w:r>
      <w:r w:rsidR="00D36C21" w:rsidRPr="00AA2AA8">
        <w:rPr>
          <w:rFonts w:ascii="Times New Roman" w:eastAsia="Times New Roman" w:hAnsi="Times New Roman" w:cs="Times New Roman"/>
          <w:i/>
          <w:kern w:val="0"/>
          <w14:ligatures w14:val="none"/>
        </w:rPr>
        <w:t>bell’s</w:t>
      </w:r>
      <w:r w:rsidR="00D36C21">
        <w:rPr>
          <w:rFonts w:ascii="Times New Roman" w:eastAsia="Times New Roman" w:hAnsi="Times New Roman" w:cs="Times New Roman"/>
          <w:kern w:val="0"/>
          <w14:ligatures w14:val="none"/>
        </w:rPr>
        <w:t xml:space="preserve"> reach cannot be </w:t>
      </w:r>
      <w:r w:rsidR="00AA2AA8">
        <w:rPr>
          <w:rFonts w:ascii="Times New Roman" w:eastAsia="Times New Roman" w:hAnsi="Times New Roman" w:cs="Times New Roman"/>
          <w:kern w:val="0"/>
          <w14:ligatures w14:val="none"/>
        </w:rPr>
        <w:t xml:space="preserve">too </w:t>
      </w:r>
      <w:r w:rsidR="00D36C21">
        <w:rPr>
          <w:rFonts w:ascii="Times New Roman" w:eastAsia="Times New Roman" w:hAnsi="Times New Roman" w:cs="Times New Roman"/>
          <w:kern w:val="0"/>
          <w14:ligatures w14:val="none"/>
        </w:rPr>
        <w:t>broad:</w:t>
      </w:r>
    </w:p>
    <w:p w14:paraId="1E213111" w14:textId="53753EB3" w:rsidR="00D36C21" w:rsidRDefault="00AA2AA8" w:rsidP="00AA2AA8">
      <w:pPr>
        <w:spacing w:before="100" w:beforeAutospacing="1" w:after="100" w:afterAutospacing="1" w:line="240" w:lineRule="auto"/>
        <w:ind w:left="720"/>
        <w:rPr>
          <w:rFonts w:ascii="Times New Roman" w:eastAsia="Times New Roman" w:hAnsi="Times New Roman" w:cs="Times New Roman"/>
          <w:kern w:val="0"/>
          <w14:ligatures w14:val="none"/>
        </w:rPr>
      </w:pPr>
      <w:r w:rsidRPr="00AA2AA8">
        <w:rPr>
          <w:rFonts w:ascii="Times New Roman" w:eastAsia="Times New Roman" w:hAnsi="Times New Roman" w:cs="Times New Roman"/>
          <w:i/>
          <w:iCs/>
          <w:kern w:val="0"/>
          <w14:ligatures w14:val="none"/>
        </w:rPr>
        <w:t>Campbell</w:t>
      </w:r>
      <w:r w:rsidRPr="00AA2AA8">
        <w:rPr>
          <w:rFonts w:ascii="Times New Roman" w:eastAsia="Times New Roman" w:hAnsi="Times New Roman" w:cs="Times New Roman"/>
          <w:kern w:val="0"/>
          <w14:ligatures w14:val="none"/>
        </w:rPr>
        <w:t xml:space="preserve"> cannot be read to mean that </w:t>
      </w:r>
      <w:r>
        <w:rPr>
          <w:rFonts w:ascii="Times New Roman" w:eastAsia="Times New Roman" w:hAnsi="Times New Roman" w:cs="Times New Roman"/>
          <w:kern w:val="0"/>
          <w14:ligatures w14:val="none"/>
        </w:rPr>
        <w:t>[fair use factor one]</w:t>
      </w:r>
      <w:r w:rsidRPr="00AA2AA8">
        <w:rPr>
          <w:rFonts w:ascii="Times New Roman" w:eastAsia="Times New Roman" w:hAnsi="Times New Roman" w:cs="Times New Roman"/>
          <w:kern w:val="0"/>
          <w14:ligatures w14:val="none"/>
        </w:rPr>
        <w:t xml:space="preserve"> weighs in favor of any use that adds some new expression, meaning, or message</w:t>
      </w:r>
      <w:proofErr w:type="gramStart"/>
      <w:r w:rsidRPr="00AA2AA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 . .</w:t>
      </w:r>
      <w:proofErr w:type="gramEnd"/>
      <w:r>
        <w:rPr>
          <w:rFonts w:ascii="Times New Roman" w:eastAsia="Times New Roman" w:hAnsi="Times New Roman" w:cs="Times New Roman"/>
          <w:kern w:val="0"/>
          <w14:ligatures w14:val="none"/>
        </w:rPr>
        <w:t xml:space="preserve"> </w:t>
      </w:r>
      <w:r w:rsidRPr="00AA2AA8">
        <w:rPr>
          <w:rFonts w:ascii="Times New Roman" w:eastAsia="Times New Roman" w:hAnsi="Times New Roman" w:cs="Times New Roman"/>
          <w:kern w:val="0"/>
          <w14:ligatures w14:val="none"/>
        </w:rPr>
        <w:t xml:space="preserve">Otherwise, "transformative use" would swallow the copyright owner's exclusive right to prepare derivative works. Many derivative works, including musical arrangements, film and stage adaptions, sequels, spinoffs, and others that </w:t>
      </w:r>
      <w:r>
        <w:rPr>
          <w:rFonts w:ascii="Times New Roman" w:eastAsia="Times New Roman" w:hAnsi="Times New Roman" w:cs="Times New Roman"/>
          <w:kern w:val="0"/>
          <w14:ligatures w14:val="none"/>
        </w:rPr>
        <w:t xml:space="preserve">. . . </w:t>
      </w:r>
      <w:r w:rsidRPr="00AA2AA8">
        <w:rPr>
          <w:rFonts w:ascii="Times New Roman" w:eastAsia="Times New Roman" w:hAnsi="Times New Roman" w:cs="Times New Roman"/>
          <w:kern w:val="0"/>
          <w14:ligatures w14:val="none"/>
        </w:rPr>
        <w:t xml:space="preserve"> add new expression, meaning or message, or provide new information, new aesthetics, new insights and understandings. That is an intractable problem for </w:t>
      </w:r>
      <w:r>
        <w:rPr>
          <w:rFonts w:ascii="Times New Roman" w:eastAsia="Times New Roman" w:hAnsi="Times New Roman" w:cs="Times New Roman"/>
          <w:kern w:val="0"/>
          <w14:ligatures w14:val="none"/>
        </w:rPr>
        <w:t>[defendant’s]</w:t>
      </w:r>
      <w:r w:rsidRPr="00AA2AA8">
        <w:rPr>
          <w:rFonts w:ascii="Times New Roman" w:eastAsia="Times New Roman" w:hAnsi="Times New Roman" w:cs="Times New Roman"/>
          <w:kern w:val="0"/>
          <w14:ligatures w14:val="none"/>
        </w:rPr>
        <w:t xml:space="preserve"> interpretation of transformative use.</w:t>
      </w:r>
      <w:r w:rsidR="004C68E1">
        <w:rPr>
          <w:rStyle w:val="FootnoteReference"/>
          <w:rFonts w:ascii="Times New Roman" w:eastAsia="Times New Roman" w:hAnsi="Times New Roman" w:cs="Times New Roman"/>
          <w:kern w:val="0"/>
          <w14:ligatures w14:val="none"/>
        </w:rPr>
        <w:footnoteReference w:id="86"/>
      </w:r>
    </w:p>
    <w:p w14:paraId="6A68C603" w14:textId="18D98BAA" w:rsidR="00DC3186" w:rsidRDefault="00DC3186" w:rsidP="008E6DA3">
      <w:pPr>
        <w:spacing w:before="100" w:beforeAutospacing="1" w:after="100" w:afterAutospacing="1" w:line="240" w:lineRule="auto"/>
        <w:rPr>
          <w:rFonts w:ascii="Times New Roman" w:eastAsia="Times New Roman" w:hAnsi="Times New Roman" w:cs="Times New Roman"/>
          <w:kern w:val="0"/>
          <w14:ligatures w14:val="none"/>
        </w:rPr>
      </w:pPr>
      <w:r w:rsidRPr="001C1240">
        <w:rPr>
          <w:rFonts w:ascii="Times New Roman" w:eastAsia="Times New Roman" w:hAnsi="Times New Roman" w:cs="Times New Roman"/>
          <w:kern w:val="0"/>
          <w14:ligatures w14:val="none"/>
        </w:rPr>
        <w:t>Goldsmith had granted Warhol a limited license to use her photograph</w:t>
      </w:r>
      <w:r w:rsidR="002D6005">
        <w:rPr>
          <w:rFonts w:ascii="Times New Roman" w:eastAsia="Times New Roman" w:hAnsi="Times New Roman" w:cs="Times New Roman"/>
          <w:kern w:val="0"/>
          <w14:ligatures w14:val="none"/>
        </w:rPr>
        <w:t xml:space="preserve"> of Prince</w:t>
      </w:r>
      <w:r w:rsidRPr="001C1240">
        <w:rPr>
          <w:rFonts w:ascii="Times New Roman" w:eastAsia="Times New Roman" w:hAnsi="Times New Roman" w:cs="Times New Roman"/>
          <w:kern w:val="0"/>
          <w14:ligatures w14:val="none"/>
        </w:rPr>
        <w:t xml:space="preserve"> in 1984 for </w:t>
      </w:r>
      <w:r w:rsidRPr="001C1240">
        <w:rPr>
          <w:rFonts w:ascii="Times New Roman" w:eastAsia="Times New Roman" w:hAnsi="Times New Roman" w:cs="Times New Roman"/>
          <w:i/>
          <w:iCs/>
          <w:kern w:val="0"/>
          <w14:ligatures w14:val="none"/>
        </w:rPr>
        <w:t>Vanity Fair</w:t>
      </w:r>
      <w:r w:rsidRPr="001C1240">
        <w:rPr>
          <w:rFonts w:ascii="Times New Roman" w:eastAsia="Times New Roman" w:hAnsi="Times New Roman" w:cs="Times New Roman"/>
          <w:kern w:val="0"/>
          <w14:ligatures w14:val="none"/>
        </w:rPr>
        <w:t xml:space="preserve">. Warhol then produced sixteen near-identical silkscreens in varying colors and later licensed one to </w:t>
      </w:r>
      <w:r w:rsidRPr="001C1240">
        <w:rPr>
          <w:rFonts w:ascii="Times New Roman" w:eastAsia="Times New Roman" w:hAnsi="Times New Roman" w:cs="Times New Roman"/>
          <w:i/>
          <w:iCs/>
          <w:kern w:val="0"/>
          <w14:ligatures w14:val="none"/>
        </w:rPr>
        <w:t>Condé Nast</w:t>
      </w:r>
      <w:r w:rsidR="001D643F">
        <w:rPr>
          <w:rFonts w:ascii="Times New Roman" w:eastAsia="Times New Roman" w:hAnsi="Times New Roman" w:cs="Times New Roman"/>
          <w:i/>
          <w:iCs/>
          <w:kern w:val="0"/>
          <w14:ligatures w14:val="none"/>
        </w:rPr>
        <w:t xml:space="preserve"> </w:t>
      </w:r>
      <w:r w:rsidRPr="001C1240">
        <w:rPr>
          <w:rFonts w:ascii="Times New Roman" w:eastAsia="Times New Roman" w:hAnsi="Times New Roman" w:cs="Times New Roman"/>
          <w:kern w:val="0"/>
          <w14:ligatures w14:val="none"/>
        </w:rPr>
        <w:t>after Prince’s death.</w:t>
      </w:r>
      <w:r w:rsidRPr="001C1240">
        <w:rPr>
          <w:rFonts w:ascii="Times New Roman" w:eastAsia="Times New Roman" w:hAnsi="Times New Roman" w:cs="Times New Roman"/>
          <w:kern w:val="0"/>
          <w:vertAlign w:val="superscript"/>
          <w14:ligatures w14:val="none"/>
        </w:rPr>
        <w:footnoteReference w:id="87"/>
      </w:r>
      <w:r w:rsidRPr="001C1240">
        <w:rPr>
          <w:rFonts w:ascii="Times New Roman" w:eastAsia="Times New Roman" w:hAnsi="Times New Roman" w:cs="Times New Roman"/>
          <w:kern w:val="0"/>
          <w14:ligatures w14:val="none"/>
        </w:rPr>
        <w:t xml:space="preserve"> The Court explained that stylistic </w:t>
      </w:r>
      <w:r w:rsidR="00AA2AA8">
        <w:rPr>
          <w:rFonts w:ascii="Times New Roman" w:eastAsia="Times New Roman" w:hAnsi="Times New Roman" w:cs="Times New Roman"/>
          <w:kern w:val="0"/>
          <w14:ligatures w14:val="none"/>
        </w:rPr>
        <w:t xml:space="preserve">additions or </w:t>
      </w:r>
      <w:r w:rsidRPr="001C1240">
        <w:rPr>
          <w:rFonts w:ascii="Times New Roman" w:eastAsia="Times New Roman" w:hAnsi="Times New Roman" w:cs="Times New Roman"/>
          <w:kern w:val="0"/>
          <w14:ligatures w14:val="none"/>
        </w:rPr>
        <w:t>differences are not enough where the secondary use targets the same commercial licensing market as the original photograph (i.e., magazine portrait licensing).</w:t>
      </w:r>
      <w:r w:rsidRPr="001C1240">
        <w:rPr>
          <w:rFonts w:ascii="Times New Roman" w:eastAsia="Times New Roman" w:hAnsi="Times New Roman" w:cs="Times New Roman"/>
          <w:kern w:val="0"/>
          <w:vertAlign w:val="superscript"/>
          <w14:ligatures w14:val="none"/>
        </w:rPr>
        <w:footnoteReference w:id="88"/>
      </w:r>
      <w:r w:rsidRPr="001C1240">
        <w:rPr>
          <w:rFonts w:ascii="Times New Roman" w:eastAsia="Times New Roman" w:hAnsi="Times New Roman" w:cs="Times New Roman"/>
          <w:kern w:val="0"/>
          <w14:ligatures w14:val="none"/>
        </w:rPr>
        <w:t xml:space="preserve"> In </w:t>
      </w:r>
      <w:r w:rsidR="001D643F">
        <w:rPr>
          <w:rFonts w:ascii="Times New Roman" w:eastAsia="Times New Roman" w:hAnsi="Times New Roman" w:cs="Times New Roman"/>
          <w:kern w:val="0"/>
          <w14:ligatures w14:val="none"/>
        </w:rPr>
        <w:t>evaluating (fair use) factor four market effect, the Court entirely ignored Warhol’s fame</w:t>
      </w:r>
      <w:r w:rsidRPr="001C1240">
        <w:rPr>
          <w:rFonts w:ascii="Times New Roman" w:eastAsia="Times New Roman" w:hAnsi="Times New Roman" w:cs="Times New Roman"/>
          <w:kern w:val="0"/>
          <w14:ligatures w14:val="none"/>
        </w:rPr>
        <w:t>.</w:t>
      </w:r>
      <w:r w:rsidRPr="001C1240">
        <w:rPr>
          <w:rFonts w:ascii="Times New Roman" w:eastAsia="Times New Roman" w:hAnsi="Times New Roman" w:cs="Times New Roman"/>
          <w:kern w:val="0"/>
          <w:vertAlign w:val="superscript"/>
          <w14:ligatures w14:val="none"/>
        </w:rPr>
        <w:footnoteReference w:id="89"/>
      </w:r>
    </w:p>
    <w:p w14:paraId="1455B180" w14:textId="53F34AC5" w:rsidR="00EA7532" w:rsidRDefault="00EA7532" w:rsidP="008E6DA3">
      <w:pPr>
        <w:spacing w:before="100" w:beforeAutospacing="1" w:after="100" w:afterAutospacing="1" w:line="240" w:lineRule="auto"/>
        <w:rPr>
          <w:rFonts w:ascii="Times New Roman" w:eastAsia="Times New Roman" w:hAnsi="Times New Roman" w:cs="Times New Roman"/>
          <w:kern w:val="0"/>
          <w14:ligatures w14:val="none"/>
        </w:rPr>
      </w:pPr>
      <w:r w:rsidRPr="00EA7532">
        <w:rPr>
          <w:rFonts w:ascii="Times New Roman" w:eastAsia="Times New Roman" w:hAnsi="Times New Roman" w:cs="Times New Roman"/>
          <w:kern w:val="0"/>
          <w14:ligatures w14:val="none"/>
        </w:rPr>
        <w:t xml:space="preserve">The Court stressed that transformation must be evaluated for the specific secondary use at issue, not in the abstract, and </w:t>
      </w:r>
      <w:r w:rsidR="00953967">
        <w:rPr>
          <w:rFonts w:ascii="Times New Roman" w:eastAsia="Times New Roman" w:hAnsi="Times New Roman" w:cs="Times New Roman"/>
          <w:kern w:val="0"/>
          <w14:ligatures w14:val="none"/>
        </w:rPr>
        <w:t xml:space="preserve">held </w:t>
      </w:r>
      <w:r w:rsidRPr="00EA7532">
        <w:rPr>
          <w:rFonts w:ascii="Times New Roman" w:eastAsia="Times New Roman" w:hAnsi="Times New Roman" w:cs="Times New Roman"/>
          <w:kern w:val="0"/>
          <w14:ligatures w14:val="none"/>
        </w:rPr>
        <w:t xml:space="preserve">that licensing a Warhol silkscreen into the same </w:t>
      </w:r>
      <w:r w:rsidR="00560877">
        <w:rPr>
          <w:rFonts w:ascii="Times New Roman" w:eastAsia="Times New Roman" w:hAnsi="Times New Roman" w:cs="Times New Roman"/>
          <w:kern w:val="0"/>
          <w14:ligatures w14:val="none"/>
        </w:rPr>
        <w:t xml:space="preserve">editorial </w:t>
      </w:r>
      <w:r w:rsidRPr="00EA7532">
        <w:rPr>
          <w:rFonts w:ascii="Times New Roman" w:eastAsia="Times New Roman" w:hAnsi="Times New Roman" w:cs="Times New Roman"/>
          <w:kern w:val="0"/>
          <w14:ligatures w14:val="none"/>
        </w:rPr>
        <w:t xml:space="preserve">market as the underlying </w:t>
      </w:r>
      <w:r w:rsidR="00953967">
        <w:rPr>
          <w:rFonts w:ascii="Times New Roman" w:eastAsia="Times New Roman" w:hAnsi="Times New Roman" w:cs="Times New Roman"/>
          <w:kern w:val="0"/>
          <w14:ligatures w14:val="none"/>
        </w:rPr>
        <w:t xml:space="preserve">copyrighted </w:t>
      </w:r>
      <w:r w:rsidRPr="00EA7532">
        <w:rPr>
          <w:rFonts w:ascii="Times New Roman" w:eastAsia="Times New Roman" w:hAnsi="Times New Roman" w:cs="Times New Roman"/>
          <w:kern w:val="0"/>
          <w14:ligatures w14:val="none"/>
        </w:rPr>
        <w:t xml:space="preserve">photograph is not transformative </w:t>
      </w:r>
      <w:r w:rsidR="00953967">
        <w:rPr>
          <w:rFonts w:ascii="Times New Roman" w:eastAsia="Times New Roman" w:hAnsi="Times New Roman" w:cs="Times New Roman"/>
          <w:kern w:val="0"/>
          <w14:ligatures w14:val="none"/>
        </w:rPr>
        <w:t xml:space="preserve">(even if it is a </w:t>
      </w:r>
      <w:r w:rsidRPr="00EA7532">
        <w:rPr>
          <w:rFonts w:ascii="Times New Roman" w:eastAsia="Times New Roman" w:hAnsi="Times New Roman" w:cs="Times New Roman"/>
          <w:kern w:val="0"/>
          <w14:ligatures w14:val="none"/>
        </w:rPr>
        <w:t>‘Warhol.’</w:t>
      </w:r>
      <w:r w:rsidR="00953967">
        <w:rPr>
          <w:rFonts w:ascii="Times New Roman" w:eastAsia="Times New Roman" w:hAnsi="Times New Roman" w:cs="Times New Roman"/>
          <w:kern w:val="0"/>
          <w14:ligatures w14:val="none"/>
        </w:rPr>
        <w:t>)</w:t>
      </w:r>
      <w:r w:rsidR="003E5ED6">
        <w:rPr>
          <w:rStyle w:val="FootnoteReference"/>
          <w:rFonts w:ascii="Times New Roman" w:eastAsia="Times New Roman" w:hAnsi="Times New Roman" w:cs="Times New Roman"/>
          <w:kern w:val="0"/>
          <w14:ligatures w14:val="none"/>
        </w:rPr>
        <w:footnoteReference w:id="90"/>
      </w:r>
      <w:r w:rsidRPr="00EA7532">
        <w:rPr>
          <w:rFonts w:ascii="Times New Roman" w:eastAsia="Times New Roman" w:hAnsi="Times New Roman" w:cs="Times New Roman"/>
          <w:kern w:val="0"/>
          <w14:ligatures w14:val="none"/>
        </w:rPr>
        <w:t xml:space="preserve"> In that sense, </w:t>
      </w:r>
      <w:r w:rsidRPr="00EA7532">
        <w:rPr>
          <w:rFonts w:ascii="Times New Roman" w:eastAsia="Times New Roman" w:hAnsi="Times New Roman" w:cs="Times New Roman"/>
          <w:i/>
          <w:iCs/>
          <w:kern w:val="0"/>
          <w14:ligatures w14:val="none"/>
        </w:rPr>
        <w:t>Warhol</w:t>
      </w:r>
      <w:r w:rsidRPr="00EA7532">
        <w:rPr>
          <w:rFonts w:ascii="Times New Roman" w:eastAsia="Times New Roman" w:hAnsi="Times New Roman" w:cs="Times New Roman"/>
          <w:kern w:val="0"/>
          <w14:ligatures w14:val="none"/>
        </w:rPr>
        <w:t xml:space="preserve"> narrows </w:t>
      </w:r>
      <w:r w:rsidRPr="007620B1">
        <w:rPr>
          <w:rFonts w:ascii="Times New Roman" w:eastAsia="Times New Roman" w:hAnsi="Times New Roman" w:cs="Times New Roman"/>
          <w:i/>
          <w:iCs/>
          <w:kern w:val="0"/>
          <w14:ligatures w14:val="none"/>
        </w:rPr>
        <w:t>Campbell’s</w:t>
      </w:r>
      <w:r w:rsidRPr="00EA7532">
        <w:rPr>
          <w:rFonts w:ascii="Times New Roman" w:eastAsia="Times New Roman" w:hAnsi="Times New Roman" w:cs="Times New Roman"/>
          <w:kern w:val="0"/>
          <w14:ligatures w14:val="none"/>
        </w:rPr>
        <w:t xml:space="preserve"> reach: aesthetic difference alone won’t </w:t>
      </w:r>
      <w:r w:rsidR="007620B1">
        <w:rPr>
          <w:rFonts w:ascii="Times New Roman" w:eastAsia="Times New Roman" w:hAnsi="Times New Roman" w:cs="Times New Roman"/>
          <w:kern w:val="0"/>
          <w14:ligatures w14:val="none"/>
        </w:rPr>
        <w:t>satisfy</w:t>
      </w:r>
      <w:r w:rsidRPr="00EA7532">
        <w:rPr>
          <w:rFonts w:ascii="Times New Roman" w:eastAsia="Times New Roman" w:hAnsi="Times New Roman" w:cs="Times New Roman"/>
          <w:kern w:val="0"/>
          <w14:ligatures w14:val="none"/>
        </w:rPr>
        <w:t xml:space="preserve"> factor one where the secondary use targets the same market as the original.</w:t>
      </w:r>
      <w:r w:rsidR="003E5ED6">
        <w:rPr>
          <w:rStyle w:val="FootnoteReference"/>
          <w:rFonts w:ascii="Times New Roman" w:eastAsia="Times New Roman" w:hAnsi="Times New Roman" w:cs="Times New Roman"/>
          <w:kern w:val="0"/>
          <w14:ligatures w14:val="none"/>
        </w:rPr>
        <w:footnoteReference w:id="91"/>
      </w:r>
      <w:r>
        <w:rPr>
          <w:rFonts w:ascii="Times New Roman" w:eastAsia="Times New Roman" w:hAnsi="Times New Roman" w:cs="Times New Roman"/>
          <w:kern w:val="0"/>
          <w14:ligatures w14:val="none"/>
        </w:rPr>
        <w:t xml:space="preserve"> </w:t>
      </w:r>
      <w:r w:rsidRPr="00EA7532">
        <w:rPr>
          <w:rFonts w:ascii="Times New Roman" w:eastAsia="Times New Roman" w:hAnsi="Times New Roman" w:cs="Times New Roman"/>
          <w:kern w:val="0"/>
          <w14:ligatures w14:val="none"/>
        </w:rPr>
        <w:t xml:space="preserve">Put differently, </w:t>
      </w:r>
      <w:r w:rsidRPr="007620B1">
        <w:rPr>
          <w:rFonts w:ascii="Times New Roman" w:eastAsia="Times New Roman" w:hAnsi="Times New Roman" w:cs="Times New Roman"/>
          <w:i/>
          <w:iCs/>
          <w:kern w:val="0"/>
          <w14:ligatures w14:val="none"/>
        </w:rPr>
        <w:t>Campbell’s</w:t>
      </w:r>
      <w:r w:rsidRPr="00EA7532">
        <w:rPr>
          <w:rFonts w:ascii="Times New Roman" w:eastAsia="Times New Roman" w:hAnsi="Times New Roman" w:cs="Times New Roman"/>
          <w:kern w:val="0"/>
          <w14:ligatures w14:val="none"/>
        </w:rPr>
        <w:t xml:space="preserve"> </w:t>
      </w:r>
      <w:r w:rsidR="007620B1">
        <w:rPr>
          <w:rFonts w:ascii="Times New Roman" w:eastAsia="Times New Roman" w:hAnsi="Times New Roman" w:cs="Times New Roman"/>
          <w:kern w:val="0"/>
          <w14:ligatures w14:val="none"/>
        </w:rPr>
        <w:t>“</w:t>
      </w:r>
      <w:r w:rsidRPr="00EA7532">
        <w:rPr>
          <w:rFonts w:ascii="Times New Roman" w:eastAsia="Times New Roman" w:hAnsi="Times New Roman" w:cs="Times New Roman"/>
          <w:kern w:val="0"/>
          <w14:ligatures w14:val="none"/>
        </w:rPr>
        <w:t>adds something new</w:t>
      </w:r>
      <w:r w:rsidR="007620B1">
        <w:rPr>
          <w:rFonts w:ascii="Times New Roman" w:eastAsia="Times New Roman" w:hAnsi="Times New Roman" w:cs="Times New Roman"/>
          <w:kern w:val="0"/>
          <w14:ligatures w14:val="none"/>
        </w:rPr>
        <w:t>”</w:t>
      </w:r>
      <w:r w:rsidRPr="00EA7532">
        <w:rPr>
          <w:rFonts w:ascii="Times New Roman" w:eastAsia="Times New Roman" w:hAnsi="Times New Roman" w:cs="Times New Roman"/>
          <w:kern w:val="0"/>
          <w14:ligatures w14:val="none"/>
        </w:rPr>
        <w:t xml:space="preserve"> inquiry no longer carries the day unless the purpose and market context of the second use are distinct. That’s why </w:t>
      </w:r>
      <w:r w:rsidR="006C69DB">
        <w:rPr>
          <w:rFonts w:ascii="Times New Roman" w:eastAsia="Times New Roman" w:hAnsi="Times New Roman" w:cs="Times New Roman"/>
          <w:i/>
          <w:iCs/>
          <w:kern w:val="0"/>
          <w14:ligatures w14:val="none"/>
        </w:rPr>
        <w:t>Google Books</w:t>
      </w:r>
      <w:r w:rsidRPr="00EA7532">
        <w:rPr>
          <w:rFonts w:ascii="Times New Roman" w:eastAsia="Times New Roman" w:hAnsi="Times New Roman" w:cs="Times New Roman"/>
          <w:kern w:val="0"/>
          <w14:ligatures w14:val="none"/>
        </w:rPr>
        <w:t xml:space="preserve">’ search/indexing was fair (different function, no substitution), while </w:t>
      </w:r>
      <w:r w:rsidRPr="00EA7532">
        <w:rPr>
          <w:rFonts w:ascii="Times New Roman" w:eastAsia="Times New Roman" w:hAnsi="Times New Roman" w:cs="Times New Roman"/>
          <w:i/>
          <w:iCs/>
          <w:kern w:val="0"/>
          <w14:ligatures w14:val="none"/>
        </w:rPr>
        <w:t>Warhol</w:t>
      </w:r>
      <w:r w:rsidRPr="00EA7532">
        <w:rPr>
          <w:rFonts w:ascii="Times New Roman" w:eastAsia="Times New Roman" w:hAnsi="Times New Roman" w:cs="Times New Roman"/>
          <w:kern w:val="0"/>
          <w14:ligatures w14:val="none"/>
        </w:rPr>
        <w:t>’s magazine license was not (same editorial market).</w:t>
      </w:r>
      <w:r w:rsidR="003E5ED6">
        <w:rPr>
          <w:rStyle w:val="FootnoteReference"/>
          <w:rFonts w:ascii="Times New Roman" w:eastAsia="Times New Roman" w:hAnsi="Times New Roman" w:cs="Times New Roman"/>
          <w:kern w:val="0"/>
          <w14:ligatures w14:val="none"/>
        </w:rPr>
        <w:footnoteReference w:id="92"/>
      </w:r>
    </w:p>
    <w:p w14:paraId="1A47F587" w14:textId="0969DBD5" w:rsidR="007153FC" w:rsidRDefault="00EA7532" w:rsidP="008E6DA3">
      <w:pPr>
        <w:spacing w:before="100" w:beforeAutospacing="1" w:after="100" w:afterAutospacing="1" w:line="240" w:lineRule="auto"/>
        <w:rPr>
          <w:rFonts w:ascii="Times New Roman" w:eastAsia="Times New Roman" w:hAnsi="Times New Roman" w:cs="Times New Roman"/>
          <w:kern w:val="0"/>
          <w14:ligatures w14:val="none"/>
        </w:rPr>
      </w:pPr>
      <w:r w:rsidRPr="00EA7532">
        <w:rPr>
          <w:rFonts w:ascii="Times New Roman" w:eastAsia="Times New Roman" w:hAnsi="Times New Roman" w:cs="Times New Roman"/>
          <w:kern w:val="0"/>
          <w14:ligatures w14:val="none"/>
        </w:rPr>
        <w:lastRenderedPageBreak/>
        <w:t xml:space="preserve">Factor four likewise loomed large in </w:t>
      </w:r>
      <w:r w:rsidRPr="00EA7532">
        <w:rPr>
          <w:rFonts w:ascii="Times New Roman" w:eastAsia="Times New Roman" w:hAnsi="Times New Roman" w:cs="Times New Roman"/>
          <w:i/>
          <w:iCs/>
          <w:kern w:val="0"/>
          <w14:ligatures w14:val="none"/>
        </w:rPr>
        <w:t>Warhol</w:t>
      </w:r>
      <w:r w:rsidRPr="00EA7532">
        <w:rPr>
          <w:rFonts w:ascii="Times New Roman" w:eastAsia="Times New Roman" w:hAnsi="Times New Roman" w:cs="Times New Roman"/>
          <w:kern w:val="0"/>
          <w14:ligatures w14:val="none"/>
        </w:rPr>
        <w:t>: by occupying the same editorial licensing market, the secondary use cut against fair use</w:t>
      </w:r>
      <w:r w:rsidR="00B62169">
        <w:rPr>
          <w:rFonts w:ascii="Times New Roman" w:eastAsia="Times New Roman" w:hAnsi="Times New Roman" w:cs="Times New Roman"/>
          <w:kern w:val="0"/>
          <w14:ligatures w14:val="none"/>
        </w:rPr>
        <w:t>;</w:t>
      </w:r>
      <w:r w:rsidR="003E5ED6">
        <w:rPr>
          <w:rStyle w:val="FootnoteReference"/>
          <w:rFonts w:ascii="Times New Roman" w:eastAsia="Times New Roman" w:hAnsi="Times New Roman" w:cs="Times New Roman"/>
          <w:kern w:val="0"/>
          <w14:ligatures w14:val="none"/>
        </w:rPr>
        <w:footnoteReference w:id="93"/>
      </w:r>
      <w:r w:rsidRPr="00EA7532">
        <w:rPr>
          <w:rFonts w:ascii="Times New Roman" w:eastAsia="Times New Roman" w:hAnsi="Times New Roman" w:cs="Times New Roman"/>
          <w:kern w:val="0"/>
          <w14:ligatures w14:val="none"/>
        </w:rPr>
        <w:t xml:space="preserve"> </w:t>
      </w:r>
      <w:r w:rsidR="00D744C0">
        <w:rPr>
          <w:rFonts w:ascii="Times New Roman" w:eastAsia="Times New Roman" w:hAnsi="Times New Roman" w:cs="Times New Roman"/>
          <w:kern w:val="0"/>
          <w14:ligatures w14:val="none"/>
        </w:rPr>
        <w:t>and as the Court noted</w:t>
      </w:r>
      <w:r w:rsidR="00B62169">
        <w:rPr>
          <w:rFonts w:ascii="Times New Roman" w:eastAsia="Times New Roman" w:hAnsi="Times New Roman" w:cs="Times New Roman"/>
          <w:kern w:val="0"/>
          <w14:ligatures w14:val="none"/>
        </w:rPr>
        <w:t xml:space="preserve">, it had previously recognized in </w:t>
      </w:r>
      <w:r w:rsidR="00B62169" w:rsidRPr="00B62169">
        <w:rPr>
          <w:rFonts w:ascii="Times New Roman" w:eastAsia="Times New Roman" w:hAnsi="Times New Roman" w:cs="Times New Roman"/>
          <w:i/>
          <w:kern w:val="0"/>
          <w14:ligatures w14:val="none"/>
        </w:rPr>
        <w:t>Harper &amp; Row Publishers Inc.</w:t>
      </w:r>
      <w:r w:rsidR="00B62169">
        <w:rPr>
          <w:rFonts w:ascii="Times New Roman" w:eastAsia="Times New Roman" w:hAnsi="Times New Roman" w:cs="Times New Roman"/>
          <w:i/>
          <w:kern w:val="0"/>
          <w14:ligatures w14:val="none"/>
        </w:rPr>
        <w:t xml:space="preserve"> </w:t>
      </w:r>
      <w:r w:rsidR="00B62169" w:rsidRPr="00B62169">
        <w:rPr>
          <w:rFonts w:ascii="Times New Roman" w:eastAsia="Times New Roman" w:hAnsi="Times New Roman" w:cs="Times New Roman"/>
          <w:i/>
          <w:kern w:val="0"/>
          <w14:ligatures w14:val="none"/>
        </w:rPr>
        <w:t>v Nation Enterprises</w:t>
      </w:r>
      <w:r w:rsidR="00B62169">
        <w:rPr>
          <w:rFonts w:ascii="Times New Roman" w:eastAsia="Times New Roman" w:hAnsi="Times New Roman" w:cs="Times New Roman"/>
          <w:kern w:val="0"/>
          <w14:ligatures w14:val="none"/>
        </w:rPr>
        <w:t>, that factor four is “undoubtedly the single most important element of fair use.”</w:t>
      </w:r>
      <w:r w:rsidR="00B62169">
        <w:rPr>
          <w:rStyle w:val="FootnoteReference"/>
          <w:rFonts w:ascii="Times New Roman" w:eastAsia="Times New Roman" w:hAnsi="Times New Roman" w:cs="Times New Roman"/>
          <w:kern w:val="0"/>
          <w14:ligatures w14:val="none"/>
        </w:rPr>
        <w:footnoteReference w:id="94"/>
      </w:r>
      <w:r w:rsidR="00674D07">
        <w:rPr>
          <w:rFonts w:ascii="Times New Roman" w:eastAsia="Times New Roman" w:hAnsi="Times New Roman" w:cs="Times New Roman"/>
          <w:kern w:val="0"/>
          <w14:ligatures w14:val="none"/>
        </w:rPr>
        <w:t xml:space="preserve"> </w:t>
      </w:r>
      <w:r w:rsidRPr="00EA7532">
        <w:rPr>
          <w:rFonts w:ascii="Times New Roman" w:eastAsia="Times New Roman" w:hAnsi="Times New Roman" w:cs="Times New Roman"/>
          <w:kern w:val="0"/>
          <w14:ligatures w14:val="none"/>
        </w:rPr>
        <w:t xml:space="preserve">For AI, the analysis bifurcates: training that enables search/analysis (like </w:t>
      </w:r>
      <w:r w:rsidR="009F3911">
        <w:rPr>
          <w:rFonts w:ascii="Times New Roman" w:eastAsia="Times New Roman" w:hAnsi="Times New Roman" w:cs="Times New Roman"/>
          <w:i/>
          <w:iCs/>
          <w:kern w:val="0"/>
          <w14:ligatures w14:val="none"/>
        </w:rPr>
        <w:t>Google Books</w:t>
      </w:r>
      <w:r w:rsidRPr="00EA7532">
        <w:rPr>
          <w:rFonts w:ascii="Times New Roman" w:eastAsia="Times New Roman" w:hAnsi="Times New Roman" w:cs="Times New Roman"/>
          <w:kern w:val="0"/>
          <w14:ligatures w14:val="none"/>
        </w:rPr>
        <w:t>) is typically non-substitutive</w:t>
      </w:r>
      <w:r w:rsidR="00F05067">
        <w:rPr>
          <w:rFonts w:ascii="Times New Roman" w:eastAsia="Times New Roman" w:hAnsi="Times New Roman" w:cs="Times New Roman"/>
          <w:kern w:val="0"/>
          <w14:ligatures w14:val="none"/>
        </w:rPr>
        <w:t xml:space="preserve"> and more likely fair use</w:t>
      </w:r>
      <w:r w:rsidR="00691C5B">
        <w:rPr>
          <w:rFonts w:ascii="Times New Roman" w:eastAsia="Times New Roman" w:hAnsi="Times New Roman" w:cs="Times New Roman"/>
          <w:kern w:val="0"/>
          <w14:ligatures w14:val="none"/>
        </w:rPr>
        <w:t xml:space="preserve">; </w:t>
      </w:r>
      <w:r w:rsidRPr="00EA7532">
        <w:rPr>
          <w:rFonts w:ascii="Times New Roman" w:eastAsia="Times New Roman" w:hAnsi="Times New Roman" w:cs="Times New Roman"/>
          <w:kern w:val="0"/>
          <w14:ligatures w14:val="none"/>
        </w:rPr>
        <w:t xml:space="preserve">whereas outputs or model offerings that function as market substitutes for licensed images, music, or text </w:t>
      </w:r>
      <w:r w:rsidR="00691C5B">
        <w:rPr>
          <w:rFonts w:ascii="Times New Roman" w:eastAsia="Times New Roman" w:hAnsi="Times New Roman" w:cs="Times New Roman"/>
          <w:kern w:val="0"/>
          <w14:ligatures w14:val="none"/>
        </w:rPr>
        <w:t xml:space="preserve">are </w:t>
      </w:r>
      <w:r w:rsidR="00F05067">
        <w:rPr>
          <w:rFonts w:ascii="Times New Roman" w:eastAsia="Times New Roman" w:hAnsi="Times New Roman" w:cs="Times New Roman"/>
          <w:kern w:val="0"/>
          <w14:ligatures w14:val="none"/>
        </w:rPr>
        <w:t xml:space="preserve">more likely </w:t>
      </w:r>
      <w:r w:rsidRPr="00EA7532">
        <w:rPr>
          <w:rFonts w:ascii="Times New Roman" w:eastAsia="Times New Roman" w:hAnsi="Times New Roman" w:cs="Times New Roman"/>
          <w:kern w:val="0"/>
          <w14:ligatures w14:val="none"/>
        </w:rPr>
        <w:t>weigh against fair use.</w:t>
      </w:r>
      <w:r w:rsidR="008F129B">
        <w:rPr>
          <w:rStyle w:val="FootnoteReference"/>
          <w:rFonts w:ascii="Times New Roman" w:eastAsia="Times New Roman" w:hAnsi="Times New Roman" w:cs="Times New Roman"/>
          <w:kern w:val="0"/>
          <w14:ligatures w14:val="none"/>
        </w:rPr>
        <w:footnoteReference w:id="95"/>
      </w:r>
      <w:r w:rsidRPr="00EA7532">
        <w:rPr>
          <w:rFonts w:ascii="Times New Roman" w:eastAsia="Times New Roman" w:hAnsi="Times New Roman" w:cs="Times New Roman"/>
          <w:kern w:val="0"/>
          <w14:ligatures w14:val="none"/>
        </w:rPr>
        <w:t xml:space="preserve"> </w:t>
      </w:r>
      <w:r w:rsidR="00A1519C">
        <w:rPr>
          <w:rFonts w:ascii="Times New Roman" w:eastAsia="Times New Roman" w:hAnsi="Times New Roman" w:cs="Times New Roman"/>
          <w:kern w:val="0"/>
          <w14:ligatures w14:val="none"/>
        </w:rPr>
        <w:t>Factors one and four appear to intertwined now in any fair use analysis, particularly in generative-AI cases.</w:t>
      </w:r>
    </w:p>
    <w:p w14:paraId="263DE051" w14:textId="2CCCF83E" w:rsidR="001C005C" w:rsidRPr="00EA7532" w:rsidRDefault="00A1519C" w:rsidP="008E6DA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One </w:t>
      </w:r>
      <w:r w:rsidR="00D13D50">
        <w:rPr>
          <w:rFonts w:ascii="Times New Roman" w:eastAsia="Times New Roman" w:hAnsi="Times New Roman" w:cs="Times New Roman"/>
          <w:kern w:val="0"/>
          <w14:ligatures w14:val="none"/>
        </w:rPr>
        <w:t xml:space="preserve">other issue raised in </w:t>
      </w:r>
      <w:r w:rsidR="00D13D50" w:rsidRPr="007153FC">
        <w:rPr>
          <w:rFonts w:ascii="Times New Roman" w:eastAsia="Times New Roman" w:hAnsi="Times New Roman" w:cs="Times New Roman"/>
          <w:i/>
          <w:kern w:val="0"/>
          <w14:ligatures w14:val="none"/>
        </w:rPr>
        <w:t>Warhol</w:t>
      </w:r>
      <w:r w:rsidR="00D13D50">
        <w:rPr>
          <w:rFonts w:ascii="Times New Roman" w:eastAsia="Times New Roman" w:hAnsi="Times New Roman" w:cs="Times New Roman"/>
          <w:kern w:val="0"/>
          <w14:ligatures w14:val="none"/>
        </w:rPr>
        <w:t xml:space="preserve"> that will not be insignificant, particularly in generative-AI cases involving images, graphics or videos, will be the notions of what is “art” and what is “fame,” and how relevant are they, if at all, in determining both transformation and substantial similarity in generated output. This will be further addressed in the next section.</w:t>
      </w:r>
    </w:p>
    <w:p w14:paraId="76D8F167" w14:textId="0D5C5F3C" w:rsidR="00B15398" w:rsidRDefault="00B15398" w:rsidP="00D17BE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1" w:name="_Toc220693056"/>
      <w:r w:rsidRPr="007B6138">
        <w:rPr>
          <w:rFonts w:ascii="Times New Roman" w:eastAsia="Times New Roman" w:hAnsi="Times New Roman" w:cs="Times New Roman"/>
          <w:b/>
          <w:bCs/>
          <w:kern w:val="0"/>
          <w:sz w:val="36"/>
          <w:szCs w:val="36"/>
          <w14:ligatures w14:val="none"/>
        </w:rPr>
        <w:t>PART V</w:t>
      </w:r>
      <w:r w:rsidR="005F1CF0">
        <w:rPr>
          <w:rFonts w:ascii="Times New Roman" w:eastAsia="Times New Roman" w:hAnsi="Times New Roman" w:cs="Times New Roman"/>
          <w:b/>
          <w:bCs/>
          <w:kern w:val="0"/>
          <w:sz w:val="36"/>
          <w:szCs w:val="36"/>
          <w14:ligatures w14:val="none"/>
        </w:rPr>
        <w:t>I</w:t>
      </w:r>
      <w:r w:rsidRPr="007B6138">
        <w:rPr>
          <w:rFonts w:ascii="Times New Roman" w:eastAsia="Times New Roman" w:hAnsi="Times New Roman" w:cs="Times New Roman"/>
          <w:b/>
          <w:bCs/>
          <w:kern w:val="0"/>
          <w:sz w:val="36"/>
          <w:szCs w:val="36"/>
          <w14:ligatures w14:val="none"/>
        </w:rPr>
        <w:t>. T</w:t>
      </w:r>
      <w:r>
        <w:rPr>
          <w:rFonts w:ascii="Times New Roman" w:eastAsia="Times New Roman" w:hAnsi="Times New Roman" w:cs="Times New Roman"/>
          <w:b/>
          <w:bCs/>
          <w:kern w:val="0"/>
          <w:sz w:val="36"/>
          <w:szCs w:val="36"/>
          <w14:ligatures w14:val="none"/>
        </w:rPr>
        <w:t>HE RIGHT OF PUBLICITY</w:t>
      </w:r>
      <w:r w:rsidR="00B1328C">
        <w:rPr>
          <w:rFonts w:ascii="Times New Roman" w:eastAsia="Times New Roman" w:hAnsi="Times New Roman" w:cs="Times New Roman"/>
          <w:b/>
          <w:bCs/>
          <w:kern w:val="0"/>
          <w:sz w:val="36"/>
          <w:szCs w:val="36"/>
          <w14:ligatures w14:val="none"/>
        </w:rPr>
        <w:t>: WHERE LIKENESS MEETS EXPRESSION</w:t>
      </w:r>
      <w:bookmarkEnd w:id="31"/>
    </w:p>
    <w:p w14:paraId="00BB4AD9" w14:textId="77777777" w:rsidR="00275EF0" w:rsidRPr="003A7C16" w:rsidRDefault="00275EF0" w:rsidP="001331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2" w:name="_Toc220693057"/>
      <w:r w:rsidRPr="003A7C16">
        <w:rPr>
          <w:rFonts w:ascii="Times New Roman" w:eastAsia="Times New Roman" w:hAnsi="Times New Roman" w:cs="Times New Roman"/>
          <w:b/>
          <w:bCs/>
          <w:kern w:val="0"/>
          <w:sz w:val="27"/>
          <w:szCs w:val="27"/>
          <w14:ligatures w14:val="none"/>
        </w:rPr>
        <w:t>A. Where Copyright Ends and the Right of Publicity Begins</w:t>
      </w:r>
      <w:bookmarkEnd w:id="32"/>
    </w:p>
    <w:p w14:paraId="2C331C08" w14:textId="5E02ED8A"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The boundary between copyright and the right of publicity marks one of the most complex intersections in modern intellectual property law.</w:t>
      </w:r>
      <w:r w:rsidR="00926BD7">
        <w:rPr>
          <w:rStyle w:val="FootnoteReference"/>
          <w:rFonts w:ascii="Times New Roman" w:eastAsia="Times New Roman" w:hAnsi="Times New Roman" w:cs="Times New Roman"/>
          <w:kern w:val="0"/>
          <w14:ligatures w14:val="none"/>
        </w:rPr>
        <w:footnoteReference w:id="96"/>
      </w:r>
      <w:r w:rsidRPr="00275EF0">
        <w:rPr>
          <w:rFonts w:ascii="Times New Roman" w:eastAsia="Times New Roman" w:hAnsi="Times New Roman" w:cs="Times New Roman"/>
          <w:kern w:val="0"/>
          <w14:ligatures w14:val="none"/>
        </w:rPr>
        <w:t xml:space="preserve"> Both doctrines seek to encourage creativity and prevent misappropriation, yet they protect fundamentally different subjects. Copyright governs </w:t>
      </w:r>
      <w:r w:rsidRPr="00275EF0">
        <w:rPr>
          <w:rFonts w:ascii="Times New Roman" w:eastAsia="Times New Roman" w:hAnsi="Times New Roman" w:cs="Times New Roman"/>
          <w:i/>
          <w:iCs/>
          <w:kern w:val="0"/>
          <w14:ligatures w14:val="none"/>
        </w:rPr>
        <w:t>expression</w:t>
      </w:r>
      <w:r w:rsidRPr="00275EF0">
        <w:rPr>
          <w:rFonts w:ascii="Times New Roman" w:eastAsia="Times New Roman" w:hAnsi="Times New Roman" w:cs="Times New Roman"/>
          <w:kern w:val="0"/>
          <w14:ligatures w14:val="none"/>
        </w:rPr>
        <w:t xml:space="preserve">—the creative form of an idea once fixed in a tangible medium—while the right of publicity safeguards </w:t>
      </w:r>
      <w:r w:rsidRPr="00275EF0">
        <w:rPr>
          <w:rFonts w:ascii="Times New Roman" w:eastAsia="Times New Roman" w:hAnsi="Times New Roman" w:cs="Times New Roman"/>
          <w:i/>
          <w:iCs/>
          <w:kern w:val="0"/>
          <w14:ligatures w14:val="none"/>
        </w:rPr>
        <w:t>identity</w:t>
      </w:r>
      <w:r w:rsidRPr="00275EF0">
        <w:rPr>
          <w:rFonts w:ascii="Times New Roman" w:eastAsia="Times New Roman" w:hAnsi="Times New Roman" w:cs="Times New Roman"/>
          <w:kern w:val="0"/>
          <w14:ligatures w14:val="none"/>
        </w:rPr>
        <w:t>—the commercial value of an individual’s name, likeness, or persona. Where copyright limits the copying of expression, the right of publicity limits the copying of self.</w:t>
      </w:r>
    </w:p>
    <w:p w14:paraId="3FC73766" w14:textId="43C285DD"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 xml:space="preserve">This distinction, however, has never been perfectly clean. As technology evolves, expression and identity often converge. The same digital image, sound recording, or avatar can simultaneously embody both a creative work and the likeness of a real person. When that happens, the boundary between copyright and </w:t>
      </w:r>
      <w:r w:rsidR="006732BA">
        <w:rPr>
          <w:rFonts w:ascii="Times New Roman" w:eastAsia="Times New Roman" w:hAnsi="Times New Roman" w:cs="Times New Roman"/>
          <w:kern w:val="0"/>
          <w14:ligatures w14:val="none"/>
        </w:rPr>
        <w:t xml:space="preserve">the right to </w:t>
      </w:r>
      <w:r w:rsidRPr="00275EF0">
        <w:rPr>
          <w:rFonts w:ascii="Times New Roman" w:eastAsia="Times New Roman" w:hAnsi="Times New Roman" w:cs="Times New Roman"/>
          <w:kern w:val="0"/>
          <w14:ligatures w14:val="none"/>
        </w:rPr>
        <w:t xml:space="preserve">publicity begins to blur. </w:t>
      </w:r>
      <w:r w:rsidR="009976D4">
        <w:rPr>
          <w:rFonts w:ascii="Times New Roman" w:eastAsia="Times New Roman" w:hAnsi="Times New Roman" w:cs="Times New Roman"/>
          <w:kern w:val="0"/>
          <w14:ligatures w14:val="none"/>
        </w:rPr>
        <w:t>Generative-AI products that create music and images have already entered this realm.</w:t>
      </w:r>
    </w:p>
    <w:p w14:paraId="3F3C1172" w14:textId="115137E4" w:rsidR="006B4AAF" w:rsidRPr="006B4AAF" w:rsidRDefault="006B4AAF" w:rsidP="006B4AAF">
      <w:pPr>
        <w:spacing w:before="100" w:beforeAutospacing="1" w:after="100" w:afterAutospacing="1" w:line="240" w:lineRule="auto"/>
        <w:rPr>
          <w:rFonts w:ascii="Times New Roman" w:eastAsia="Times New Roman" w:hAnsi="Times New Roman" w:cs="Times New Roman"/>
          <w:kern w:val="0"/>
          <w14:ligatures w14:val="none"/>
        </w:rPr>
      </w:pPr>
      <w:r w:rsidRPr="006B4AAF">
        <w:rPr>
          <w:rFonts w:ascii="Times New Roman" w:eastAsia="Times New Roman" w:hAnsi="Times New Roman" w:cs="Times New Roman"/>
          <w:kern w:val="0"/>
          <w14:ligatures w14:val="none"/>
        </w:rPr>
        <w:lastRenderedPageBreak/>
        <w:t>California courts have long recognized that expressive works may depict real people without violating their rights of publicity, so long as the use is transformative.</w:t>
      </w:r>
      <w:r w:rsidR="00D22087">
        <w:rPr>
          <w:rStyle w:val="FootnoteReference"/>
          <w:rFonts w:ascii="Times New Roman" w:eastAsia="Times New Roman" w:hAnsi="Times New Roman" w:cs="Times New Roman"/>
          <w:kern w:val="0"/>
          <w14:ligatures w14:val="none"/>
        </w:rPr>
        <w:footnoteReference w:id="97"/>
      </w:r>
      <w:r w:rsidRPr="006B4AAF">
        <w:rPr>
          <w:rFonts w:ascii="Times New Roman" w:eastAsia="Times New Roman" w:hAnsi="Times New Roman" w:cs="Times New Roman"/>
          <w:kern w:val="0"/>
          <w14:ligatures w14:val="none"/>
        </w:rPr>
        <w:t xml:space="preserve"> The key question is whether the work adds significant creative elements that transform the likeness into something new, or merely appropriates the plaintiff’s identity for commercial gain.</w:t>
      </w:r>
    </w:p>
    <w:p w14:paraId="7E7626F7" w14:textId="5C520ADF" w:rsidR="006B4AAF" w:rsidRPr="006B4AAF" w:rsidRDefault="006B4AAF" w:rsidP="006B4AAF">
      <w:pPr>
        <w:spacing w:before="100" w:beforeAutospacing="1" w:after="100" w:afterAutospacing="1" w:line="240" w:lineRule="auto"/>
        <w:rPr>
          <w:rFonts w:ascii="Times New Roman" w:eastAsia="Times New Roman" w:hAnsi="Times New Roman" w:cs="Times New Roman"/>
          <w:kern w:val="0"/>
          <w14:ligatures w14:val="none"/>
        </w:rPr>
      </w:pPr>
      <w:r w:rsidRPr="006B4AAF">
        <w:rPr>
          <w:rFonts w:ascii="Times New Roman" w:eastAsia="Times New Roman" w:hAnsi="Times New Roman" w:cs="Times New Roman"/>
          <w:kern w:val="0"/>
          <w14:ligatures w14:val="none"/>
        </w:rPr>
        <w:t xml:space="preserve">In </w:t>
      </w:r>
      <w:r w:rsidRPr="006B4AAF">
        <w:rPr>
          <w:rFonts w:ascii="Times New Roman" w:eastAsia="Times New Roman" w:hAnsi="Times New Roman" w:cs="Times New Roman"/>
          <w:i/>
          <w:iCs/>
          <w:kern w:val="0"/>
          <w14:ligatures w14:val="none"/>
        </w:rPr>
        <w:t>Kirby v. Sega of America, Inc.</w:t>
      </w:r>
      <w:r w:rsidRPr="006B4AAF">
        <w:rPr>
          <w:rFonts w:ascii="Times New Roman" w:eastAsia="Times New Roman" w:hAnsi="Times New Roman" w:cs="Times New Roman"/>
          <w:kern w:val="0"/>
          <w14:ligatures w14:val="none"/>
        </w:rPr>
        <w:t xml:space="preserve">, the </w:t>
      </w:r>
      <w:r w:rsidR="009976D4" w:rsidRPr="00CF6ED9">
        <w:rPr>
          <w:rFonts w:ascii="Times New Roman" w:eastAsia="Times New Roman" w:hAnsi="Times New Roman" w:cs="Times New Roman"/>
          <w:kern w:val="0"/>
          <w14:ligatures w14:val="none"/>
        </w:rPr>
        <w:t xml:space="preserve">California Court of Appeal </w:t>
      </w:r>
      <w:r w:rsidRPr="006B4AAF">
        <w:rPr>
          <w:rFonts w:ascii="Times New Roman" w:eastAsia="Times New Roman" w:hAnsi="Times New Roman" w:cs="Times New Roman"/>
          <w:kern w:val="0"/>
          <w14:ligatures w14:val="none"/>
        </w:rPr>
        <w:t>held that a video game character inspired by a pop singer was transformative because it conveyed its own expressive content rather than merely appropriating the singer’s likeness.</w:t>
      </w:r>
      <w:r>
        <w:rPr>
          <w:rStyle w:val="FootnoteReference"/>
          <w:rFonts w:ascii="Times New Roman" w:eastAsia="Times New Roman" w:hAnsi="Times New Roman" w:cs="Times New Roman"/>
          <w:kern w:val="0"/>
          <w14:ligatures w14:val="none"/>
        </w:rPr>
        <w:footnoteReference w:id="98"/>
      </w:r>
      <w:r w:rsidRPr="006B4AAF">
        <w:rPr>
          <w:rFonts w:ascii="Times New Roman" w:eastAsia="Times New Roman" w:hAnsi="Times New Roman" w:cs="Times New Roman"/>
          <w:kern w:val="0"/>
          <w14:ligatures w14:val="none"/>
        </w:rPr>
        <w:t xml:space="preserve"> The character “Ulala,” though clearly reminiscent of the plaintiff’s persona, existed within a distinct narrative universe with original audiovisual elements. The court emphasized that the First Amendment protects works that use identity as “raw material” for creative expression, even when the resemblance is intentional and commercially exploited.</w:t>
      </w:r>
      <w:r>
        <w:rPr>
          <w:rStyle w:val="FootnoteReference"/>
          <w:rFonts w:ascii="Times New Roman" w:eastAsia="Times New Roman" w:hAnsi="Times New Roman" w:cs="Times New Roman"/>
          <w:kern w:val="0"/>
          <w14:ligatures w14:val="none"/>
        </w:rPr>
        <w:footnoteReference w:id="99"/>
      </w:r>
    </w:p>
    <w:p w14:paraId="15C1C8CB" w14:textId="4F5EEC36" w:rsidR="006B4AAF" w:rsidRPr="006B4AAF" w:rsidRDefault="006B4AAF" w:rsidP="006B4AAF">
      <w:pPr>
        <w:spacing w:before="100" w:beforeAutospacing="1" w:after="100" w:afterAutospacing="1" w:line="240" w:lineRule="auto"/>
        <w:rPr>
          <w:rFonts w:ascii="Times New Roman" w:eastAsia="Times New Roman" w:hAnsi="Times New Roman" w:cs="Times New Roman"/>
          <w:kern w:val="0"/>
          <w14:ligatures w14:val="none"/>
        </w:rPr>
      </w:pPr>
      <w:r w:rsidRPr="006B4AAF">
        <w:rPr>
          <w:rFonts w:ascii="Times New Roman" w:eastAsia="Times New Roman" w:hAnsi="Times New Roman" w:cs="Times New Roman"/>
          <w:kern w:val="0"/>
          <w14:ligatures w14:val="none"/>
        </w:rPr>
        <w:t>This tension between inspiration and appropriation echoes older disputes over musical and stylistic borrowing. Together, these cases mark the spectrum between impermissible imitation and transformative depiction—the same line that modern AI must now negotiate.</w:t>
      </w:r>
      <w:r>
        <w:rPr>
          <w:rStyle w:val="FootnoteReference"/>
          <w:rFonts w:ascii="Times New Roman" w:eastAsia="Times New Roman" w:hAnsi="Times New Roman" w:cs="Times New Roman"/>
          <w:kern w:val="0"/>
          <w14:ligatures w14:val="none"/>
        </w:rPr>
        <w:footnoteReference w:id="100"/>
      </w:r>
    </w:p>
    <w:p w14:paraId="56379EE5" w14:textId="28086A2F" w:rsidR="00CF6ED9" w:rsidRDefault="00CF6ED9" w:rsidP="006B4AAF">
      <w:pPr>
        <w:spacing w:before="100" w:beforeAutospacing="1" w:after="100" w:afterAutospacing="1" w:line="240" w:lineRule="auto"/>
        <w:rPr>
          <w:rFonts w:ascii="Times New Roman" w:eastAsia="Times New Roman" w:hAnsi="Times New Roman" w:cs="Times New Roman"/>
          <w:kern w:val="0"/>
          <w14:ligatures w14:val="none"/>
        </w:rPr>
      </w:pPr>
      <w:r w:rsidRPr="00CF6ED9">
        <w:rPr>
          <w:rFonts w:ascii="Times New Roman" w:eastAsia="Times New Roman" w:hAnsi="Times New Roman" w:cs="Times New Roman"/>
          <w:kern w:val="0"/>
          <w14:ligatures w14:val="none"/>
        </w:rPr>
        <w:t xml:space="preserve">Five years </w:t>
      </w:r>
      <w:r w:rsidR="004F0DB1">
        <w:rPr>
          <w:rFonts w:ascii="Times New Roman" w:eastAsia="Times New Roman" w:hAnsi="Times New Roman" w:cs="Times New Roman"/>
          <w:kern w:val="0"/>
          <w14:ligatures w14:val="none"/>
        </w:rPr>
        <w:t xml:space="preserve">after </w:t>
      </w:r>
      <w:r w:rsidR="004F0DB1" w:rsidRPr="004F0DB1">
        <w:rPr>
          <w:rFonts w:ascii="Times New Roman" w:eastAsia="Times New Roman" w:hAnsi="Times New Roman" w:cs="Times New Roman"/>
          <w:i/>
          <w:kern w:val="0"/>
          <w14:ligatures w14:val="none"/>
        </w:rPr>
        <w:t>Kirby</w:t>
      </w:r>
      <w:r w:rsidRPr="00CF6ED9">
        <w:rPr>
          <w:rFonts w:ascii="Times New Roman" w:eastAsia="Times New Roman" w:hAnsi="Times New Roman" w:cs="Times New Roman"/>
          <w:kern w:val="0"/>
          <w14:ligatures w14:val="none"/>
        </w:rPr>
        <w:t xml:space="preserve">, the California Court of Appeal confronted </w:t>
      </w:r>
      <w:r w:rsidR="005C24F9">
        <w:rPr>
          <w:rFonts w:ascii="Times New Roman" w:eastAsia="Times New Roman" w:hAnsi="Times New Roman" w:cs="Times New Roman"/>
          <w:kern w:val="0"/>
          <w14:ligatures w14:val="none"/>
        </w:rPr>
        <w:t>an entirely different</w:t>
      </w:r>
      <w:r w:rsidRPr="00CF6ED9">
        <w:rPr>
          <w:rFonts w:ascii="Times New Roman" w:eastAsia="Times New Roman" w:hAnsi="Times New Roman" w:cs="Times New Roman"/>
          <w:kern w:val="0"/>
          <w14:ligatures w14:val="none"/>
        </w:rPr>
        <w:t xml:space="preserve"> problem in </w:t>
      </w:r>
      <w:r w:rsidRPr="00CF6ED9">
        <w:rPr>
          <w:rFonts w:ascii="Times New Roman" w:eastAsia="Times New Roman" w:hAnsi="Times New Roman" w:cs="Times New Roman"/>
          <w:i/>
          <w:iCs/>
          <w:kern w:val="0"/>
          <w14:ligatures w14:val="none"/>
        </w:rPr>
        <w:t>No Doubt v. Activision Publishing, Inc.</w:t>
      </w:r>
      <w:r>
        <w:rPr>
          <w:rStyle w:val="FootnoteReference"/>
          <w:rFonts w:ascii="Times New Roman" w:eastAsia="Times New Roman" w:hAnsi="Times New Roman" w:cs="Times New Roman"/>
          <w:kern w:val="0"/>
          <w14:ligatures w14:val="none"/>
        </w:rPr>
        <w:footnoteReference w:id="101"/>
      </w:r>
      <w:r w:rsidRPr="00CF6ED9">
        <w:rPr>
          <w:rFonts w:ascii="Times New Roman" w:eastAsia="Times New Roman" w:hAnsi="Times New Roman" w:cs="Times New Roman"/>
          <w:kern w:val="0"/>
          <w14:ligatures w14:val="none"/>
        </w:rPr>
        <w:t xml:space="preserve"> There, the band No Doubt had licensed its likenesses for use in the video game </w:t>
      </w:r>
      <w:r w:rsidRPr="00CF6ED9">
        <w:rPr>
          <w:rFonts w:ascii="Times New Roman" w:eastAsia="Times New Roman" w:hAnsi="Times New Roman" w:cs="Times New Roman"/>
          <w:i/>
          <w:iCs/>
          <w:kern w:val="0"/>
          <w14:ligatures w14:val="none"/>
        </w:rPr>
        <w:t>Band Hero</w:t>
      </w:r>
      <w:r w:rsidRPr="00CF6ED9">
        <w:rPr>
          <w:rFonts w:ascii="Times New Roman" w:eastAsia="Times New Roman" w:hAnsi="Times New Roman" w:cs="Times New Roman"/>
          <w:kern w:val="0"/>
          <w14:ligatures w14:val="none"/>
        </w:rPr>
        <w:t xml:space="preserve">, but the game’s software allowed players to make the avatars perform songs the band had never recorded, in styles they would never </w:t>
      </w:r>
      <w:r w:rsidR="00586145">
        <w:rPr>
          <w:rFonts w:ascii="Times New Roman" w:eastAsia="Times New Roman" w:hAnsi="Times New Roman" w:cs="Times New Roman"/>
          <w:kern w:val="0"/>
          <w14:ligatures w14:val="none"/>
        </w:rPr>
        <w:t xml:space="preserve">have </w:t>
      </w:r>
      <w:r w:rsidRPr="00CF6ED9">
        <w:rPr>
          <w:rFonts w:ascii="Times New Roman" w:eastAsia="Times New Roman" w:hAnsi="Times New Roman" w:cs="Times New Roman"/>
          <w:kern w:val="0"/>
          <w14:ligatures w14:val="none"/>
        </w:rPr>
        <w:t>chose</w:t>
      </w:r>
      <w:r w:rsidR="00586145">
        <w:rPr>
          <w:rFonts w:ascii="Times New Roman" w:eastAsia="Times New Roman" w:hAnsi="Times New Roman" w:cs="Times New Roman"/>
          <w:kern w:val="0"/>
          <w14:ligatures w14:val="none"/>
        </w:rPr>
        <w:t>n</w:t>
      </w:r>
      <w:r w:rsidRPr="00CF6ED9">
        <w:rPr>
          <w:rFonts w:ascii="Times New Roman" w:eastAsia="Times New Roman" w:hAnsi="Times New Roman" w:cs="Times New Roman"/>
          <w:kern w:val="0"/>
          <w14:ligatures w14:val="none"/>
        </w:rPr>
        <w:t xml:space="preserve">. Unlike in </w:t>
      </w:r>
      <w:r w:rsidRPr="00CF6ED9">
        <w:rPr>
          <w:rFonts w:ascii="Times New Roman" w:eastAsia="Times New Roman" w:hAnsi="Times New Roman" w:cs="Times New Roman"/>
          <w:i/>
          <w:iCs/>
          <w:kern w:val="0"/>
          <w14:ligatures w14:val="none"/>
        </w:rPr>
        <w:t>Kirby</w:t>
      </w:r>
      <w:r w:rsidR="00586145">
        <w:rPr>
          <w:rFonts w:ascii="Times New Roman" w:eastAsia="Times New Roman" w:hAnsi="Times New Roman" w:cs="Times New Roman"/>
          <w:i/>
          <w:iCs/>
          <w:kern w:val="0"/>
          <w14:ligatures w14:val="none"/>
        </w:rPr>
        <w:t>,</w:t>
      </w:r>
      <w:r w:rsidRPr="00CF6ED9">
        <w:rPr>
          <w:rFonts w:ascii="Times New Roman" w:eastAsia="Times New Roman" w:hAnsi="Times New Roman" w:cs="Times New Roman"/>
          <w:kern w:val="0"/>
          <w14:ligatures w14:val="none"/>
        </w:rPr>
        <w:t xml:space="preserve"> the court found that the avatars were </w:t>
      </w:r>
      <w:r w:rsidRPr="00A80DFE">
        <w:rPr>
          <w:rFonts w:ascii="Times New Roman" w:eastAsia="Times New Roman" w:hAnsi="Times New Roman" w:cs="Times New Roman"/>
          <w:i/>
          <w:kern w:val="0"/>
          <w14:ligatures w14:val="none"/>
        </w:rPr>
        <w:t>not</w:t>
      </w:r>
      <w:r w:rsidRPr="00CF6ED9">
        <w:rPr>
          <w:rFonts w:ascii="Times New Roman" w:eastAsia="Times New Roman" w:hAnsi="Times New Roman" w:cs="Times New Roman"/>
          <w:kern w:val="0"/>
          <w14:ligatures w14:val="none"/>
        </w:rPr>
        <w:t xml:space="preserve"> transformative: they were literal digital reproductions of the band’s members, performing under their own names, with only minimal creative alteration. Because the avatars “merely replicated” the group’s identities without adding </w:t>
      </w:r>
      <w:r w:rsidRPr="00CF6ED9">
        <w:rPr>
          <w:rFonts w:ascii="Times New Roman" w:eastAsia="Times New Roman" w:hAnsi="Times New Roman" w:cs="Times New Roman"/>
          <w:kern w:val="0"/>
          <w14:ligatures w14:val="none"/>
        </w:rPr>
        <w:lastRenderedPageBreak/>
        <w:t xml:space="preserve">new expression or meaning, </w:t>
      </w:r>
      <w:r w:rsidR="009976D4">
        <w:rPr>
          <w:rFonts w:ascii="Times New Roman" w:eastAsia="Times New Roman" w:hAnsi="Times New Roman" w:cs="Times New Roman"/>
          <w:kern w:val="0"/>
          <w14:ligatures w14:val="none"/>
        </w:rPr>
        <w:t xml:space="preserve">they were not transformative and </w:t>
      </w:r>
      <w:r w:rsidRPr="00CF6ED9">
        <w:rPr>
          <w:rFonts w:ascii="Times New Roman" w:eastAsia="Times New Roman" w:hAnsi="Times New Roman" w:cs="Times New Roman"/>
          <w:kern w:val="0"/>
          <w14:ligatures w14:val="none"/>
        </w:rPr>
        <w:t>the</w:t>
      </w:r>
      <w:r w:rsidR="009976D4">
        <w:rPr>
          <w:rFonts w:ascii="Times New Roman" w:eastAsia="Times New Roman" w:hAnsi="Times New Roman" w:cs="Times New Roman"/>
          <w:kern w:val="0"/>
          <w14:ligatures w14:val="none"/>
        </w:rPr>
        <w:t>ir</w:t>
      </w:r>
      <w:r w:rsidRPr="00CF6ED9">
        <w:rPr>
          <w:rFonts w:ascii="Times New Roman" w:eastAsia="Times New Roman" w:hAnsi="Times New Roman" w:cs="Times New Roman"/>
          <w:kern w:val="0"/>
          <w14:ligatures w14:val="none"/>
        </w:rPr>
        <w:t xml:space="preserve"> use fell outside the protection of the First Amendment.</w:t>
      </w:r>
      <w:r>
        <w:rPr>
          <w:rStyle w:val="FootnoteReference"/>
          <w:rFonts w:ascii="Times New Roman" w:eastAsia="Times New Roman" w:hAnsi="Times New Roman" w:cs="Times New Roman"/>
          <w:kern w:val="0"/>
          <w14:ligatures w14:val="none"/>
        </w:rPr>
        <w:footnoteReference w:id="102"/>
      </w:r>
    </w:p>
    <w:p w14:paraId="56ACF9F6" w14:textId="168DCA43" w:rsidR="00275EF0" w:rsidRPr="003A7C16" w:rsidRDefault="00275EF0" w:rsidP="00275EF0">
      <w:pPr>
        <w:spacing w:before="100" w:beforeAutospacing="1" w:after="100" w:afterAutospacing="1" w:line="240" w:lineRule="auto"/>
        <w:rPr>
          <w:rFonts w:ascii="Times New Roman" w:eastAsia="Times New Roman" w:hAnsi="Times New Roman" w:cs="Times New Roman"/>
          <w:kern w:val="0"/>
          <w:sz w:val="27"/>
          <w:szCs w:val="27"/>
          <w14:ligatures w14:val="none"/>
        </w:rPr>
      </w:pPr>
      <w:r w:rsidRPr="00275EF0">
        <w:rPr>
          <w:rFonts w:ascii="Times New Roman" w:eastAsia="Times New Roman" w:hAnsi="Times New Roman" w:cs="Times New Roman"/>
          <w:kern w:val="0"/>
          <w14:ligatures w14:val="none"/>
        </w:rPr>
        <w:t xml:space="preserve">Together, </w:t>
      </w:r>
      <w:r w:rsidRPr="00275EF0">
        <w:rPr>
          <w:rFonts w:ascii="Times New Roman" w:eastAsia="Times New Roman" w:hAnsi="Times New Roman" w:cs="Times New Roman"/>
          <w:i/>
          <w:iCs/>
          <w:kern w:val="0"/>
          <w14:ligatures w14:val="none"/>
        </w:rPr>
        <w:t>Kirby</w:t>
      </w:r>
      <w:r w:rsidRPr="00275EF0">
        <w:rPr>
          <w:rFonts w:ascii="Times New Roman" w:eastAsia="Times New Roman" w:hAnsi="Times New Roman" w:cs="Times New Roman"/>
          <w:kern w:val="0"/>
          <w14:ligatures w14:val="none"/>
        </w:rPr>
        <w:t xml:space="preserve"> and </w:t>
      </w:r>
      <w:r w:rsidRPr="00275EF0">
        <w:rPr>
          <w:rFonts w:ascii="Times New Roman" w:eastAsia="Times New Roman" w:hAnsi="Times New Roman" w:cs="Times New Roman"/>
          <w:i/>
          <w:iCs/>
          <w:kern w:val="0"/>
          <w14:ligatures w14:val="none"/>
        </w:rPr>
        <w:t>No Doubt</w:t>
      </w:r>
      <w:r w:rsidRPr="00275EF0">
        <w:rPr>
          <w:rFonts w:ascii="Times New Roman" w:eastAsia="Times New Roman" w:hAnsi="Times New Roman" w:cs="Times New Roman"/>
          <w:kern w:val="0"/>
          <w14:ligatures w14:val="none"/>
        </w:rPr>
        <w:t xml:space="preserve"> illustrate the fragile line between expression and identity in the era of digital simulation. When creative works can reproduce human likeness with photographic or vocal precision, the conceptual distance between authorship and embodiment narrows. The next sections examine how that distance continues to collapse in an age where technology no longer merely imitates the human form</w:t>
      </w:r>
      <w:r w:rsidR="009976D4">
        <w:rPr>
          <w:rFonts w:ascii="Times New Roman" w:eastAsia="Times New Roman" w:hAnsi="Times New Roman" w:cs="Times New Roman"/>
          <w:kern w:val="0"/>
          <w14:ligatures w14:val="none"/>
        </w:rPr>
        <w:t>,</w:t>
      </w:r>
      <w:r w:rsidRPr="00275EF0">
        <w:rPr>
          <w:rFonts w:ascii="Times New Roman" w:eastAsia="Times New Roman" w:hAnsi="Times New Roman" w:cs="Times New Roman"/>
          <w:kern w:val="0"/>
          <w14:ligatures w14:val="none"/>
        </w:rPr>
        <w:t xml:space="preserve"> but can replicate—and </w:t>
      </w:r>
      <w:r w:rsidR="00A80DFE">
        <w:rPr>
          <w:rFonts w:ascii="Times New Roman" w:eastAsia="Times New Roman" w:hAnsi="Times New Roman" w:cs="Times New Roman"/>
          <w:kern w:val="0"/>
          <w14:ligatures w14:val="none"/>
        </w:rPr>
        <w:t xml:space="preserve">even </w:t>
      </w:r>
      <w:r w:rsidRPr="00275EF0">
        <w:rPr>
          <w:rFonts w:ascii="Times New Roman" w:eastAsia="Times New Roman" w:hAnsi="Times New Roman" w:cs="Times New Roman"/>
          <w:kern w:val="0"/>
          <w14:ligatures w14:val="none"/>
        </w:rPr>
        <w:t>extend—it.</w:t>
      </w:r>
    </w:p>
    <w:p w14:paraId="64F4C494" w14:textId="77777777" w:rsidR="00275EF0" w:rsidRPr="003A7C16" w:rsidRDefault="00275EF0" w:rsidP="001331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3" w:name="_Toc220693058"/>
      <w:r w:rsidRPr="003A7C16">
        <w:rPr>
          <w:rFonts w:ascii="Times New Roman" w:eastAsia="Times New Roman" w:hAnsi="Times New Roman" w:cs="Times New Roman"/>
          <w:b/>
          <w:bCs/>
          <w:kern w:val="0"/>
          <w:sz w:val="27"/>
          <w:szCs w:val="27"/>
          <w14:ligatures w14:val="none"/>
        </w:rPr>
        <w:t>B. From Digital Simulation to “Band Hero on Steroids”</w:t>
      </w:r>
      <w:bookmarkEnd w:id="33"/>
    </w:p>
    <w:p w14:paraId="1D264DAA" w14:textId="7B87AD3A"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 xml:space="preserve">Long before the term </w:t>
      </w:r>
      <w:r w:rsidRPr="00275EF0">
        <w:rPr>
          <w:rFonts w:ascii="Times New Roman" w:eastAsia="Times New Roman" w:hAnsi="Times New Roman" w:cs="Times New Roman"/>
          <w:i/>
          <w:iCs/>
          <w:kern w:val="0"/>
          <w14:ligatures w14:val="none"/>
        </w:rPr>
        <w:t>generative</w:t>
      </w:r>
      <w:r w:rsidR="00A80DFE">
        <w:rPr>
          <w:rFonts w:ascii="Times New Roman" w:eastAsia="Times New Roman" w:hAnsi="Times New Roman" w:cs="Times New Roman"/>
          <w:i/>
          <w:iCs/>
          <w:kern w:val="0"/>
          <w14:ligatures w14:val="none"/>
        </w:rPr>
        <w:t xml:space="preserve"> </w:t>
      </w:r>
      <w:r w:rsidRPr="00275EF0">
        <w:rPr>
          <w:rFonts w:ascii="Times New Roman" w:eastAsia="Times New Roman" w:hAnsi="Times New Roman" w:cs="Times New Roman"/>
          <w:i/>
          <w:iCs/>
          <w:kern w:val="0"/>
          <w14:ligatures w14:val="none"/>
        </w:rPr>
        <w:t>AI</w:t>
      </w:r>
      <w:r w:rsidRPr="00275EF0">
        <w:rPr>
          <w:rFonts w:ascii="Times New Roman" w:eastAsia="Times New Roman" w:hAnsi="Times New Roman" w:cs="Times New Roman"/>
          <w:kern w:val="0"/>
          <w14:ligatures w14:val="none"/>
        </w:rPr>
        <w:t xml:space="preserve"> entered </w:t>
      </w:r>
      <w:r w:rsidR="00A80DFE">
        <w:rPr>
          <w:rFonts w:ascii="Times New Roman" w:eastAsia="Times New Roman" w:hAnsi="Times New Roman" w:cs="Times New Roman"/>
          <w:kern w:val="0"/>
          <w14:ligatures w14:val="none"/>
        </w:rPr>
        <w:t>lexicon</w:t>
      </w:r>
      <w:r w:rsidRPr="00275EF0">
        <w:rPr>
          <w:rFonts w:ascii="Times New Roman" w:eastAsia="Times New Roman" w:hAnsi="Times New Roman" w:cs="Times New Roman"/>
          <w:kern w:val="0"/>
          <w14:ligatures w14:val="none"/>
        </w:rPr>
        <w:t xml:space="preserve">, the tension between expression and identity had already begun to surface in the </w:t>
      </w:r>
      <w:r w:rsidR="009976D4">
        <w:rPr>
          <w:rFonts w:ascii="Times New Roman" w:eastAsia="Times New Roman" w:hAnsi="Times New Roman" w:cs="Times New Roman"/>
          <w:kern w:val="0"/>
          <w14:ligatures w14:val="none"/>
        </w:rPr>
        <w:t>world</w:t>
      </w:r>
      <w:r w:rsidRPr="00275EF0">
        <w:rPr>
          <w:rFonts w:ascii="Times New Roman" w:eastAsia="Times New Roman" w:hAnsi="Times New Roman" w:cs="Times New Roman"/>
          <w:kern w:val="0"/>
          <w14:ligatures w14:val="none"/>
        </w:rPr>
        <w:t xml:space="preserve"> of interactive entertainment. In my earlier analysis of </w:t>
      </w:r>
      <w:r w:rsidRPr="00275EF0">
        <w:rPr>
          <w:rFonts w:ascii="Times New Roman" w:eastAsia="Times New Roman" w:hAnsi="Times New Roman" w:cs="Times New Roman"/>
          <w:i/>
          <w:iCs/>
          <w:kern w:val="0"/>
          <w14:ligatures w14:val="none"/>
        </w:rPr>
        <w:t>No Doubt v. Activision</w:t>
      </w:r>
      <w:r w:rsidRPr="00275EF0">
        <w:rPr>
          <w:rFonts w:ascii="Times New Roman" w:eastAsia="Times New Roman" w:hAnsi="Times New Roman" w:cs="Times New Roman"/>
          <w:kern w:val="0"/>
          <w14:ligatures w14:val="none"/>
        </w:rPr>
        <w:t xml:space="preserve">, I described what seemed then a distant possibility—a future in which technology could not merely reproduce a </w:t>
      </w:r>
      <w:r w:rsidR="004F0DB1">
        <w:rPr>
          <w:rFonts w:ascii="Times New Roman" w:eastAsia="Times New Roman" w:hAnsi="Times New Roman" w:cs="Times New Roman"/>
          <w:kern w:val="0"/>
          <w14:ligatures w14:val="none"/>
        </w:rPr>
        <w:t>performance of a specific song by a specific performer, but could generate any number of songs</w:t>
      </w:r>
      <w:r w:rsidRPr="00275EF0">
        <w:rPr>
          <w:rFonts w:ascii="Times New Roman" w:eastAsia="Times New Roman" w:hAnsi="Times New Roman" w:cs="Times New Roman"/>
          <w:kern w:val="0"/>
          <w14:ligatures w14:val="none"/>
        </w:rPr>
        <w:t xml:space="preserve"> </w:t>
      </w:r>
      <w:r w:rsidR="00634725">
        <w:rPr>
          <w:rFonts w:ascii="Times New Roman" w:eastAsia="Times New Roman" w:hAnsi="Times New Roman" w:cs="Times New Roman"/>
          <w:kern w:val="0"/>
          <w14:ligatures w14:val="none"/>
        </w:rPr>
        <w:t>written and performed in the style of any p</w:t>
      </w:r>
      <w:r w:rsidRPr="00275EF0">
        <w:rPr>
          <w:rFonts w:ascii="Times New Roman" w:eastAsia="Times New Roman" w:hAnsi="Times New Roman" w:cs="Times New Roman"/>
          <w:kern w:val="0"/>
          <w14:ligatures w14:val="none"/>
        </w:rPr>
        <w:t>erformer. That idea became the “Band Hero on Steroids” hypothetical</w:t>
      </w:r>
      <w:r w:rsidR="009976D4">
        <w:rPr>
          <w:rFonts w:ascii="Times New Roman" w:eastAsia="Times New Roman" w:hAnsi="Times New Roman" w:cs="Times New Roman"/>
          <w:kern w:val="0"/>
          <w14:ligatures w14:val="none"/>
        </w:rPr>
        <w:t>:</w:t>
      </w:r>
    </w:p>
    <w:p w14:paraId="617E3BD0" w14:textId="3387E74F" w:rsidR="00275EF0" w:rsidRPr="00275EF0" w:rsidRDefault="00275EF0" w:rsidP="00523460">
      <w:pPr>
        <w:spacing w:beforeAutospacing="1" w:after="100" w:afterAutospacing="1" w:line="240" w:lineRule="auto"/>
        <w:ind w:left="720"/>
        <w:rPr>
          <w:rFonts w:ascii="Times New Roman" w:eastAsia="Times New Roman" w:hAnsi="Times New Roman" w:cs="Times New Roman"/>
          <w:kern w:val="0"/>
          <w14:ligatures w14:val="none"/>
        </w:rPr>
      </w:pPr>
      <w:r w:rsidRPr="00523460">
        <w:rPr>
          <w:rFonts w:ascii="Times New Roman" w:eastAsia="Times New Roman" w:hAnsi="Times New Roman" w:cs="Times New Roman"/>
          <w:iCs/>
          <w:kern w:val="0"/>
          <w14:ligatures w14:val="none"/>
        </w:rPr>
        <w:t>A video game company creates a music simulation game that contains the</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top one hundred bands of all time, along with each band’s fifty most popular</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songs. Avatars for each band look exactly like the real-life members. Each of</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the hundred bands can perform every song included in the game in a style</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 xml:space="preserve">unique to that band. Furthermore, there is a </w:t>
      </w:r>
      <w:r w:rsidR="008A786B">
        <w:rPr>
          <w:rFonts w:ascii="Times New Roman" w:eastAsia="Times New Roman" w:hAnsi="Times New Roman" w:cs="Times New Roman"/>
          <w:iCs/>
          <w:kern w:val="0"/>
          <w14:ligatures w14:val="none"/>
        </w:rPr>
        <w:t>“</w:t>
      </w:r>
      <w:r w:rsidRPr="00523460">
        <w:rPr>
          <w:rFonts w:ascii="Times New Roman" w:eastAsia="Times New Roman" w:hAnsi="Times New Roman" w:cs="Times New Roman"/>
          <w:iCs/>
          <w:kern w:val="0"/>
          <w14:ligatures w14:val="none"/>
        </w:rPr>
        <w:t>genius</w:t>
      </w:r>
      <w:r w:rsidR="008A786B">
        <w:rPr>
          <w:rFonts w:ascii="Times New Roman" w:eastAsia="Times New Roman" w:hAnsi="Times New Roman" w:cs="Times New Roman"/>
          <w:iCs/>
          <w:kern w:val="0"/>
          <w14:ligatures w14:val="none"/>
        </w:rPr>
        <w:t>”</w:t>
      </w:r>
      <w:r w:rsidRPr="00523460">
        <w:rPr>
          <w:rFonts w:ascii="Times New Roman" w:eastAsia="Times New Roman" w:hAnsi="Times New Roman" w:cs="Times New Roman"/>
          <w:iCs/>
          <w:kern w:val="0"/>
          <w14:ligatures w14:val="none"/>
        </w:rPr>
        <w:t xml:space="preserve"> mode that permits a user</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to enter anywhere from five to one hundred words and/or musical notes and the</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game will generate a song from those words and/or notes in the style and</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sound of any specified band. The performances can be saved and transferred</w:t>
      </w:r>
      <w:r w:rsidRPr="00275EF0">
        <w:rPr>
          <w:rFonts w:ascii="Times New Roman" w:eastAsia="Times New Roman" w:hAnsi="Times New Roman" w:cs="Times New Roman"/>
          <w:iCs/>
          <w:kern w:val="0"/>
          <w14:ligatures w14:val="none"/>
        </w:rPr>
        <w:br/>
      </w:r>
      <w:r w:rsidRPr="00523460">
        <w:rPr>
          <w:rFonts w:ascii="Times New Roman" w:eastAsia="Times New Roman" w:hAnsi="Times New Roman" w:cs="Times New Roman"/>
          <w:iCs/>
          <w:kern w:val="0"/>
          <w14:ligatures w14:val="none"/>
        </w:rPr>
        <w:t>to other forms of media.</w:t>
      </w:r>
      <w:r w:rsidR="00523460">
        <w:rPr>
          <w:rStyle w:val="FootnoteReference"/>
          <w:rFonts w:ascii="Times New Roman" w:eastAsia="Times New Roman" w:hAnsi="Times New Roman" w:cs="Times New Roman"/>
          <w:iCs/>
          <w:kern w:val="0"/>
          <w14:ligatures w14:val="none"/>
        </w:rPr>
        <w:footnoteReference w:id="103"/>
      </w:r>
    </w:p>
    <w:p w14:paraId="42C97839" w14:textId="77777777"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When first written, the scenario was meant to test the boundaries of transformation and authorship in a digital environment. Yet the questions it posed have become central to current debates about AI-generated content:</w:t>
      </w:r>
    </w:p>
    <w:p w14:paraId="4615FE7F" w14:textId="78E5484F" w:rsidR="00275EF0" w:rsidRPr="00275EF0" w:rsidRDefault="00275EF0" w:rsidP="00523460">
      <w:pPr>
        <w:spacing w:beforeAutospacing="1" w:after="100" w:afterAutospacing="1" w:line="240" w:lineRule="auto"/>
        <w:ind w:left="720"/>
        <w:rPr>
          <w:rFonts w:ascii="Times New Roman" w:eastAsia="Times New Roman" w:hAnsi="Times New Roman" w:cs="Times New Roman"/>
          <w:kern w:val="0"/>
          <w14:ligatures w14:val="none"/>
        </w:rPr>
      </w:pPr>
      <w:r w:rsidRPr="00523460">
        <w:rPr>
          <w:rFonts w:ascii="Times New Roman" w:eastAsia="Times New Roman" w:hAnsi="Times New Roman" w:cs="Times New Roman"/>
          <w:iCs/>
          <w:kern w:val="0"/>
          <w14:ligatures w14:val="none"/>
        </w:rPr>
        <w:t xml:space="preserve">What happens when technology permits a user to use avatars to not only visually perform the song of another artist, but to use the distinctive voice or sound or style of that group to perform the other artist’s work? </w:t>
      </w:r>
      <w:r w:rsidR="00523460">
        <w:rPr>
          <w:rFonts w:ascii="Times New Roman" w:eastAsia="Times New Roman" w:hAnsi="Times New Roman" w:cs="Times New Roman"/>
          <w:iCs/>
          <w:kern w:val="0"/>
          <w14:ligatures w14:val="none"/>
        </w:rPr>
        <w:t xml:space="preserve">. . . </w:t>
      </w:r>
      <w:r w:rsidRPr="00523460">
        <w:rPr>
          <w:rFonts w:ascii="Times New Roman" w:eastAsia="Times New Roman" w:hAnsi="Times New Roman" w:cs="Times New Roman"/>
          <w:iCs/>
          <w:kern w:val="0"/>
          <w14:ligatures w14:val="none"/>
        </w:rPr>
        <w:t xml:space="preserve">What if users could choose any of the one hundred bands included in … ‘Band Hero on Steroids’ to perform any of the 5,000 songs included in the game? What if a user could input a few (or many) words and/or melodies and request a performance in the voice or style of The Beatles or The Beach Boys or Cage the Elephant? Technology will likely bring this to a gaming console or computer in the near </w:t>
      </w:r>
      <w:r w:rsidRPr="00523460">
        <w:rPr>
          <w:rFonts w:ascii="Times New Roman" w:eastAsia="Times New Roman" w:hAnsi="Times New Roman" w:cs="Times New Roman"/>
          <w:iCs/>
          <w:kern w:val="0"/>
          <w14:ligatures w14:val="none"/>
        </w:rPr>
        <w:lastRenderedPageBreak/>
        <w:t xml:space="preserve">future. </w:t>
      </w:r>
      <w:r w:rsidR="00523460">
        <w:rPr>
          <w:rFonts w:ascii="Times New Roman" w:eastAsia="Times New Roman" w:hAnsi="Times New Roman" w:cs="Times New Roman"/>
          <w:iCs/>
          <w:kern w:val="0"/>
          <w14:ligatures w14:val="none"/>
        </w:rPr>
        <w:t xml:space="preserve">. . </w:t>
      </w:r>
      <w:r w:rsidRPr="00523460">
        <w:rPr>
          <w:rFonts w:ascii="Times New Roman" w:eastAsia="Times New Roman" w:hAnsi="Times New Roman" w:cs="Times New Roman"/>
          <w:iCs/>
          <w:kern w:val="0"/>
          <w14:ligatures w14:val="none"/>
        </w:rPr>
        <w:t>What will be—and who will own—the copyright interests (if any) in the works and performances created by the game?</w:t>
      </w:r>
      <w:r w:rsidR="00523460">
        <w:rPr>
          <w:rStyle w:val="FootnoteReference"/>
          <w:rFonts w:ascii="Times New Roman" w:eastAsia="Times New Roman" w:hAnsi="Times New Roman" w:cs="Times New Roman"/>
          <w:iCs/>
          <w:kern w:val="0"/>
          <w14:ligatures w14:val="none"/>
        </w:rPr>
        <w:footnoteReference w:id="104"/>
      </w:r>
    </w:p>
    <w:p w14:paraId="54D1152B" w14:textId="5A08A6D1"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That “near future” has arrived. Generative</w:t>
      </w:r>
      <w:r w:rsidR="00A80DFE">
        <w:rPr>
          <w:rFonts w:ascii="Times New Roman" w:eastAsia="Times New Roman" w:hAnsi="Times New Roman" w:cs="Times New Roman"/>
          <w:kern w:val="0"/>
          <w14:ligatures w14:val="none"/>
        </w:rPr>
        <w:t xml:space="preserve"> </w:t>
      </w:r>
      <w:r w:rsidRPr="00275EF0">
        <w:rPr>
          <w:rFonts w:ascii="Times New Roman" w:eastAsia="Times New Roman" w:hAnsi="Times New Roman" w:cs="Times New Roman"/>
          <w:kern w:val="0"/>
          <w14:ligatures w14:val="none"/>
        </w:rPr>
        <w:t>AI systems can now synthesize music, vocals, and visual likenesses indistinguishable from their human counterparts.</w:t>
      </w:r>
      <w:r w:rsidR="003B066B">
        <w:rPr>
          <w:rStyle w:val="FootnoteReference"/>
          <w:rFonts w:ascii="Times New Roman" w:eastAsia="Times New Roman" w:hAnsi="Times New Roman" w:cs="Times New Roman"/>
          <w:kern w:val="0"/>
          <w14:ligatures w14:val="none"/>
        </w:rPr>
        <w:footnoteReference w:id="105"/>
      </w:r>
      <w:r w:rsidRPr="00275EF0">
        <w:rPr>
          <w:rFonts w:ascii="Times New Roman" w:eastAsia="Times New Roman" w:hAnsi="Times New Roman" w:cs="Times New Roman"/>
          <w:kern w:val="0"/>
          <w14:ligatures w14:val="none"/>
        </w:rPr>
        <w:t xml:space="preserve"> They can imitate a performer’s </w:t>
      </w:r>
      <w:r w:rsidR="00663EC5">
        <w:rPr>
          <w:rFonts w:ascii="Times New Roman" w:eastAsia="Times New Roman" w:hAnsi="Times New Roman" w:cs="Times New Roman"/>
          <w:kern w:val="0"/>
          <w14:ligatures w14:val="none"/>
        </w:rPr>
        <w:t xml:space="preserve">appearance, </w:t>
      </w:r>
      <w:r w:rsidR="00A80DFE">
        <w:rPr>
          <w:rFonts w:ascii="Times New Roman" w:eastAsia="Times New Roman" w:hAnsi="Times New Roman" w:cs="Times New Roman"/>
          <w:kern w:val="0"/>
          <w14:ligatures w14:val="none"/>
        </w:rPr>
        <w:t xml:space="preserve">voice, </w:t>
      </w:r>
      <w:r w:rsidRPr="00275EF0">
        <w:rPr>
          <w:rFonts w:ascii="Times New Roman" w:eastAsia="Times New Roman" w:hAnsi="Times New Roman" w:cs="Times New Roman"/>
          <w:kern w:val="0"/>
          <w14:ligatures w14:val="none"/>
        </w:rPr>
        <w:t xml:space="preserve">tone, phrasing, and </w:t>
      </w:r>
      <w:r w:rsidR="00586145">
        <w:rPr>
          <w:rFonts w:ascii="Times New Roman" w:eastAsia="Times New Roman" w:hAnsi="Times New Roman" w:cs="Times New Roman"/>
          <w:kern w:val="0"/>
          <w14:ligatures w14:val="none"/>
        </w:rPr>
        <w:t>style</w:t>
      </w:r>
      <w:r w:rsidRPr="00275EF0">
        <w:rPr>
          <w:rFonts w:ascii="Times New Roman" w:eastAsia="Times New Roman" w:hAnsi="Times New Roman" w:cs="Times New Roman"/>
          <w:kern w:val="0"/>
          <w14:ligatures w14:val="none"/>
        </w:rPr>
        <w:t xml:space="preserve">. In short, </w:t>
      </w:r>
      <w:r w:rsidR="00926BD7">
        <w:rPr>
          <w:rFonts w:ascii="Times New Roman" w:eastAsia="Times New Roman" w:hAnsi="Times New Roman" w:cs="Times New Roman"/>
          <w:kern w:val="0"/>
          <w14:ligatures w14:val="none"/>
        </w:rPr>
        <w:t>“</w:t>
      </w:r>
      <w:r w:rsidRPr="00926BD7">
        <w:rPr>
          <w:rFonts w:ascii="Times New Roman" w:eastAsia="Times New Roman" w:hAnsi="Times New Roman" w:cs="Times New Roman"/>
          <w:kern w:val="0"/>
          <w14:ligatures w14:val="none"/>
        </w:rPr>
        <w:t>Band Hero on Steroids</w:t>
      </w:r>
      <w:r w:rsidR="00926BD7">
        <w:rPr>
          <w:rFonts w:ascii="Times New Roman" w:eastAsia="Times New Roman" w:hAnsi="Times New Roman" w:cs="Times New Roman"/>
          <w:kern w:val="0"/>
          <w14:ligatures w14:val="none"/>
        </w:rPr>
        <w:t>”</w:t>
      </w:r>
      <w:r w:rsidRPr="00926BD7">
        <w:rPr>
          <w:rFonts w:ascii="Times New Roman" w:eastAsia="Times New Roman" w:hAnsi="Times New Roman" w:cs="Times New Roman"/>
          <w:kern w:val="0"/>
          <w14:ligatures w14:val="none"/>
        </w:rPr>
        <w:t xml:space="preserve"> is</w:t>
      </w:r>
      <w:r w:rsidRPr="00275EF0">
        <w:rPr>
          <w:rFonts w:ascii="Times New Roman" w:eastAsia="Times New Roman" w:hAnsi="Times New Roman" w:cs="Times New Roman"/>
          <w:kern w:val="0"/>
          <w14:ligatures w14:val="none"/>
        </w:rPr>
        <w:t xml:space="preserve"> no longer a hypothetical—it is </w:t>
      </w:r>
      <w:r w:rsidR="002F60B8">
        <w:rPr>
          <w:rFonts w:ascii="Times New Roman" w:eastAsia="Times New Roman" w:hAnsi="Times New Roman" w:cs="Times New Roman"/>
          <w:kern w:val="0"/>
          <w14:ligatures w14:val="none"/>
        </w:rPr>
        <w:t>an</w:t>
      </w:r>
      <w:r w:rsidRPr="00275EF0">
        <w:rPr>
          <w:rFonts w:ascii="Times New Roman" w:eastAsia="Times New Roman" w:hAnsi="Times New Roman" w:cs="Times New Roman"/>
          <w:kern w:val="0"/>
          <w14:ligatures w14:val="none"/>
        </w:rPr>
        <w:t xml:space="preserve"> operating model of contemporary machine-learning systems trained on vast datasets of human creativity.</w:t>
      </w:r>
    </w:p>
    <w:p w14:paraId="7425F3F3" w14:textId="37777D52"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 xml:space="preserve">The implications extend beyond the right of publicity. If a model can replicate the </w:t>
      </w:r>
      <w:r w:rsidR="00926BD7">
        <w:rPr>
          <w:rFonts w:ascii="Times New Roman" w:eastAsia="Times New Roman" w:hAnsi="Times New Roman" w:cs="Times New Roman"/>
          <w:kern w:val="0"/>
          <w14:ligatures w14:val="none"/>
        </w:rPr>
        <w:t>“</w:t>
      </w:r>
      <w:r w:rsidRPr="00926BD7">
        <w:rPr>
          <w:rFonts w:ascii="Times New Roman" w:eastAsia="Times New Roman" w:hAnsi="Times New Roman" w:cs="Times New Roman"/>
          <w:kern w:val="0"/>
          <w14:ligatures w14:val="none"/>
        </w:rPr>
        <w:t>style</w:t>
      </w:r>
      <w:r w:rsidR="00926BD7">
        <w:rPr>
          <w:rFonts w:ascii="Times New Roman" w:eastAsia="Times New Roman" w:hAnsi="Times New Roman" w:cs="Times New Roman"/>
          <w:kern w:val="0"/>
          <w14:ligatures w14:val="none"/>
        </w:rPr>
        <w:t>”</w:t>
      </w:r>
      <w:r w:rsidRPr="00275EF0">
        <w:rPr>
          <w:rFonts w:ascii="Times New Roman" w:eastAsia="Times New Roman" w:hAnsi="Times New Roman" w:cs="Times New Roman"/>
          <w:kern w:val="0"/>
          <w14:ligatures w14:val="none"/>
        </w:rPr>
        <w:t xml:space="preserve"> of The Beatles or the </w:t>
      </w:r>
      <w:r w:rsidR="00926BD7">
        <w:rPr>
          <w:rFonts w:ascii="Times New Roman" w:eastAsia="Times New Roman" w:hAnsi="Times New Roman" w:cs="Times New Roman"/>
          <w:kern w:val="0"/>
          <w14:ligatures w14:val="none"/>
        </w:rPr>
        <w:t>“</w:t>
      </w:r>
      <w:r w:rsidRPr="00926BD7">
        <w:rPr>
          <w:rFonts w:ascii="Times New Roman" w:eastAsia="Times New Roman" w:hAnsi="Times New Roman" w:cs="Times New Roman"/>
          <w:kern w:val="0"/>
          <w14:ligatures w14:val="none"/>
        </w:rPr>
        <w:t>vibe</w:t>
      </w:r>
      <w:r w:rsidR="00926BD7">
        <w:rPr>
          <w:rFonts w:ascii="Times New Roman" w:eastAsia="Times New Roman" w:hAnsi="Times New Roman" w:cs="Times New Roman"/>
          <w:kern w:val="0"/>
          <w14:ligatures w14:val="none"/>
        </w:rPr>
        <w:t>”</w:t>
      </w:r>
      <w:r w:rsidRPr="00275EF0">
        <w:rPr>
          <w:rFonts w:ascii="Times New Roman" w:eastAsia="Times New Roman" w:hAnsi="Times New Roman" w:cs="Times New Roman"/>
          <w:kern w:val="0"/>
          <w14:ligatures w14:val="none"/>
        </w:rPr>
        <w:t xml:space="preserve"> of Marvin Gaye, does that constitute a derivative work, a transformative </w:t>
      </w:r>
      <w:r w:rsidR="006732BA">
        <w:rPr>
          <w:rFonts w:ascii="Times New Roman" w:eastAsia="Times New Roman" w:hAnsi="Times New Roman" w:cs="Times New Roman"/>
          <w:kern w:val="0"/>
          <w14:ligatures w14:val="none"/>
        </w:rPr>
        <w:t>work</w:t>
      </w:r>
      <w:r w:rsidRPr="00275EF0">
        <w:rPr>
          <w:rFonts w:ascii="Times New Roman" w:eastAsia="Times New Roman" w:hAnsi="Times New Roman" w:cs="Times New Roman"/>
          <w:kern w:val="0"/>
          <w14:ligatures w14:val="none"/>
        </w:rPr>
        <w:t xml:space="preserve">, or something entirely new? When a </w:t>
      </w:r>
      <w:r w:rsidR="001340D8">
        <w:rPr>
          <w:rFonts w:ascii="Times New Roman" w:eastAsia="Times New Roman" w:hAnsi="Times New Roman" w:cs="Times New Roman"/>
          <w:kern w:val="0"/>
          <w14:ligatures w14:val="none"/>
        </w:rPr>
        <w:t>person</w:t>
      </w:r>
      <w:r w:rsidRPr="00275EF0">
        <w:rPr>
          <w:rFonts w:ascii="Times New Roman" w:eastAsia="Times New Roman" w:hAnsi="Times New Roman" w:cs="Times New Roman"/>
          <w:kern w:val="0"/>
          <w14:ligatures w14:val="none"/>
        </w:rPr>
        <w:t xml:space="preserve"> types a few words that guide the model’s output, who—if anyone—is the author? And if the system can endlessly generate “new” performances, does the resulting work belong to anyone at all?</w:t>
      </w:r>
    </w:p>
    <w:p w14:paraId="6F0CAF9B" w14:textId="3D500213" w:rsidR="00275EF0" w:rsidRPr="00275EF0" w:rsidRDefault="00275EF0" w:rsidP="00275EF0">
      <w:pPr>
        <w:spacing w:before="100" w:beforeAutospacing="1" w:after="100" w:afterAutospacing="1" w:line="240" w:lineRule="auto"/>
        <w:rPr>
          <w:rFonts w:ascii="Times New Roman" w:eastAsia="Times New Roman" w:hAnsi="Times New Roman" w:cs="Times New Roman"/>
          <w:kern w:val="0"/>
          <w14:ligatures w14:val="none"/>
        </w:rPr>
      </w:pPr>
      <w:r w:rsidRPr="00275EF0">
        <w:rPr>
          <w:rFonts w:ascii="Times New Roman" w:eastAsia="Times New Roman" w:hAnsi="Times New Roman" w:cs="Times New Roman"/>
          <w:kern w:val="0"/>
          <w14:ligatures w14:val="none"/>
        </w:rPr>
        <w:t xml:space="preserve">These are not speculative puzzles </w:t>
      </w:r>
      <w:r w:rsidR="001340D8">
        <w:rPr>
          <w:rFonts w:ascii="Times New Roman" w:eastAsia="Times New Roman" w:hAnsi="Times New Roman" w:cs="Times New Roman"/>
          <w:kern w:val="0"/>
          <w14:ligatures w14:val="none"/>
        </w:rPr>
        <w:t xml:space="preserve">anymore, </w:t>
      </w:r>
      <w:r w:rsidRPr="00275EF0">
        <w:rPr>
          <w:rFonts w:ascii="Times New Roman" w:eastAsia="Times New Roman" w:hAnsi="Times New Roman" w:cs="Times New Roman"/>
          <w:kern w:val="0"/>
          <w14:ligatures w14:val="none"/>
        </w:rPr>
        <w:t>but</w:t>
      </w:r>
      <w:r w:rsidR="001340D8">
        <w:rPr>
          <w:rFonts w:ascii="Times New Roman" w:eastAsia="Times New Roman" w:hAnsi="Times New Roman" w:cs="Times New Roman"/>
          <w:kern w:val="0"/>
          <w14:ligatures w14:val="none"/>
        </w:rPr>
        <w:t xml:space="preserve"> rather</w:t>
      </w:r>
      <w:r w:rsidRPr="00275EF0">
        <w:rPr>
          <w:rFonts w:ascii="Times New Roman" w:eastAsia="Times New Roman" w:hAnsi="Times New Roman" w:cs="Times New Roman"/>
          <w:kern w:val="0"/>
          <w14:ligatures w14:val="none"/>
        </w:rPr>
        <w:t xml:space="preserve"> the next logical step in the trajectory that began with </w:t>
      </w:r>
      <w:r w:rsidRPr="00275EF0">
        <w:rPr>
          <w:rFonts w:ascii="Times New Roman" w:eastAsia="Times New Roman" w:hAnsi="Times New Roman" w:cs="Times New Roman"/>
          <w:i/>
          <w:iCs/>
          <w:kern w:val="0"/>
          <w14:ligatures w14:val="none"/>
        </w:rPr>
        <w:t>No Doubt</w:t>
      </w:r>
      <w:r w:rsidRPr="00275EF0">
        <w:rPr>
          <w:rFonts w:ascii="Times New Roman" w:eastAsia="Times New Roman" w:hAnsi="Times New Roman" w:cs="Times New Roman"/>
          <w:kern w:val="0"/>
          <w14:ligatures w14:val="none"/>
        </w:rPr>
        <w:t xml:space="preserve"> and the early digital-simulation cases. The </w:t>
      </w:r>
      <w:r w:rsidR="00926BD7">
        <w:rPr>
          <w:rFonts w:ascii="Times New Roman" w:eastAsia="Times New Roman" w:hAnsi="Times New Roman" w:cs="Times New Roman"/>
          <w:kern w:val="0"/>
          <w14:ligatures w14:val="none"/>
        </w:rPr>
        <w:t>“</w:t>
      </w:r>
      <w:r w:rsidRPr="00926BD7">
        <w:rPr>
          <w:rFonts w:ascii="Times New Roman" w:eastAsia="Times New Roman" w:hAnsi="Times New Roman" w:cs="Times New Roman"/>
          <w:kern w:val="0"/>
          <w14:ligatures w14:val="none"/>
        </w:rPr>
        <w:t>Band Hero</w:t>
      </w:r>
      <w:r w:rsidR="00926BD7">
        <w:rPr>
          <w:rFonts w:ascii="Times New Roman" w:eastAsia="Times New Roman" w:hAnsi="Times New Roman" w:cs="Times New Roman"/>
          <w:kern w:val="0"/>
          <w14:ligatures w14:val="none"/>
        </w:rPr>
        <w:t xml:space="preserve"> on Steroids”</w:t>
      </w:r>
      <w:r w:rsidRPr="00275EF0">
        <w:rPr>
          <w:rFonts w:ascii="Times New Roman" w:eastAsia="Times New Roman" w:hAnsi="Times New Roman" w:cs="Times New Roman"/>
          <w:kern w:val="0"/>
          <w14:ligatures w14:val="none"/>
        </w:rPr>
        <w:t xml:space="preserve"> example shows that the law’s existing building blocks—authorship, fixation, originality, and fair use—must now </w:t>
      </w:r>
      <w:r w:rsidR="00663EC5">
        <w:rPr>
          <w:rFonts w:ascii="Times New Roman" w:eastAsia="Times New Roman" w:hAnsi="Times New Roman" w:cs="Times New Roman"/>
          <w:kern w:val="0"/>
          <w14:ligatures w14:val="none"/>
        </w:rPr>
        <w:t xml:space="preserve">be stretched to </w:t>
      </w:r>
      <w:r w:rsidRPr="00275EF0">
        <w:rPr>
          <w:rFonts w:ascii="Times New Roman" w:eastAsia="Times New Roman" w:hAnsi="Times New Roman" w:cs="Times New Roman"/>
          <w:kern w:val="0"/>
          <w14:ligatures w14:val="none"/>
        </w:rPr>
        <w:t>operate in a world where identity itself has become replicable data. The following sections explore how courts and commentators have attempted to reconcile those doctrines with the expanding reach of publicity and personality rights in the age of artificial intelligence.</w:t>
      </w:r>
    </w:p>
    <w:p w14:paraId="6DB2D0B8" w14:textId="5410CCD8" w:rsidR="00D7667A" w:rsidRPr="003A7C16" w:rsidRDefault="00D7667A" w:rsidP="0013316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4" w:name="_Toc220693059"/>
      <w:r w:rsidRPr="003A7C16">
        <w:rPr>
          <w:rFonts w:ascii="Times New Roman" w:eastAsia="Times New Roman" w:hAnsi="Times New Roman" w:cs="Times New Roman"/>
          <w:b/>
          <w:bCs/>
          <w:kern w:val="0"/>
          <w:sz w:val="27"/>
          <w:szCs w:val="27"/>
          <w14:ligatures w14:val="none"/>
        </w:rPr>
        <w:t>C. The Right of Publicity</w:t>
      </w:r>
      <w:r w:rsidR="009D437F" w:rsidRPr="003A7C16">
        <w:rPr>
          <w:rFonts w:ascii="Times New Roman" w:eastAsia="Times New Roman" w:hAnsi="Times New Roman" w:cs="Times New Roman"/>
          <w:b/>
          <w:bCs/>
          <w:kern w:val="0"/>
          <w:sz w:val="27"/>
          <w:szCs w:val="27"/>
          <w14:ligatures w14:val="none"/>
        </w:rPr>
        <w:t xml:space="preserve"> and AI</w:t>
      </w:r>
      <w:bookmarkEnd w:id="34"/>
    </w:p>
    <w:p w14:paraId="7FFE0AFE" w14:textId="16B01E66" w:rsidR="00D7667A" w:rsidRPr="00D7667A" w:rsidRDefault="00986B2C" w:rsidP="00D7667A">
      <w:pPr>
        <w:spacing w:before="100" w:beforeAutospacing="1" w:after="100" w:afterAutospacing="1" w:line="240" w:lineRule="auto"/>
        <w:rPr>
          <w:rFonts w:ascii="Times New Roman" w:eastAsia="Times New Roman" w:hAnsi="Times New Roman" w:cs="Times New Roman"/>
          <w:kern w:val="0"/>
          <w14:ligatures w14:val="none"/>
        </w:rPr>
      </w:pPr>
      <w:r w:rsidRPr="00986B2C">
        <w:rPr>
          <w:rFonts w:ascii="Times New Roman" w:eastAsia="Times New Roman" w:hAnsi="Times New Roman" w:cs="Times New Roman"/>
          <w:kern w:val="0"/>
          <w14:ligatures w14:val="none"/>
        </w:rPr>
        <w:t xml:space="preserve">The </w:t>
      </w:r>
      <w:r w:rsidR="00926BD7">
        <w:rPr>
          <w:rFonts w:ascii="Times New Roman" w:eastAsia="Times New Roman" w:hAnsi="Times New Roman" w:cs="Times New Roman"/>
          <w:kern w:val="0"/>
          <w14:ligatures w14:val="none"/>
        </w:rPr>
        <w:t>“</w:t>
      </w:r>
      <w:r w:rsidRPr="00926BD7">
        <w:rPr>
          <w:rFonts w:ascii="Times New Roman" w:eastAsia="Times New Roman" w:hAnsi="Times New Roman" w:cs="Times New Roman"/>
          <w:kern w:val="0"/>
          <w14:ligatures w14:val="none"/>
        </w:rPr>
        <w:t>Band Hero on Steroids</w:t>
      </w:r>
      <w:r w:rsidR="00926BD7">
        <w:rPr>
          <w:rFonts w:ascii="Times New Roman" w:eastAsia="Times New Roman" w:hAnsi="Times New Roman" w:cs="Times New Roman"/>
          <w:kern w:val="0"/>
          <w14:ligatures w14:val="none"/>
        </w:rPr>
        <w:t>”</w:t>
      </w:r>
      <w:r w:rsidRPr="00986B2C">
        <w:rPr>
          <w:rFonts w:ascii="Times New Roman" w:eastAsia="Times New Roman" w:hAnsi="Times New Roman" w:cs="Times New Roman"/>
          <w:kern w:val="0"/>
          <w14:ligatures w14:val="none"/>
        </w:rPr>
        <w:t xml:space="preserve"> scenario exposes the doctrinal complexity of the right of publicity, which varies widely across the states, creating a patchwork of rules governing likeness, voice, and digital identity</w:t>
      </w:r>
      <w:r w:rsidR="00362DE3">
        <w:rPr>
          <w:rFonts w:ascii="Times New Roman" w:eastAsia="Times New Roman" w:hAnsi="Times New Roman" w:cs="Times New Roman"/>
          <w:kern w:val="0"/>
          <w14:ligatures w14:val="none"/>
        </w:rPr>
        <w:t xml:space="preserve">, </w:t>
      </w:r>
      <w:r w:rsidR="00362DE3" w:rsidRPr="00362DE3">
        <w:rPr>
          <w:rFonts w:ascii="Times New Roman" w:eastAsia="Times New Roman" w:hAnsi="Times New Roman" w:cs="Times New Roman"/>
          <w:kern w:val="0"/>
          <w14:ligatures w14:val="none"/>
        </w:rPr>
        <w:t>including newly enacted protections for “digital replicas” and AI-based voice cloning</w:t>
      </w:r>
      <w:r w:rsidR="00D7667A" w:rsidRPr="00D7667A">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106"/>
      </w:r>
      <w:r w:rsidR="00D7667A" w:rsidRPr="00D7667A">
        <w:rPr>
          <w:rFonts w:ascii="Times New Roman" w:eastAsia="Times New Roman" w:hAnsi="Times New Roman" w:cs="Times New Roman"/>
          <w:kern w:val="0"/>
          <w14:ligatures w14:val="none"/>
        </w:rPr>
        <w:t xml:space="preserve"> What began as a narrow claim to control one’s name and likeness has evolved into a sprawling body of state law that protects the economic value of personal identity. Its roots lie in </w:t>
      </w:r>
      <w:r w:rsidR="00D7667A" w:rsidRPr="00D7667A">
        <w:rPr>
          <w:rFonts w:ascii="Times New Roman" w:eastAsia="Times New Roman" w:hAnsi="Times New Roman" w:cs="Times New Roman"/>
          <w:i/>
          <w:iCs/>
          <w:kern w:val="0"/>
          <w14:ligatures w14:val="none"/>
        </w:rPr>
        <w:t>Zacchini v. Scripps-Howard Broadcasting Co.</w:t>
      </w:r>
      <w:r w:rsidR="00D7667A" w:rsidRPr="00D7667A">
        <w:rPr>
          <w:rFonts w:ascii="Times New Roman" w:eastAsia="Times New Roman" w:hAnsi="Times New Roman" w:cs="Times New Roman"/>
          <w:kern w:val="0"/>
          <w14:ligatures w14:val="none"/>
        </w:rPr>
        <w:t>, where the Supreme Court held that broadcasting an entire human-cannonball act without permission violated the performer’s right to the commercial value of his performance.</w:t>
      </w:r>
      <w:r w:rsidR="00D7667A">
        <w:rPr>
          <w:rStyle w:val="FootnoteReference"/>
          <w:rFonts w:ascii="Times New Roman" w:eastAsia="Times New Roman" w:hAnsi="Times New Roman" w:cs="Times New Roman"/>
          <w:kern w:val="0"/>
          <w14:ligatures w14:val="none"/>
        </w:rPr>
        <w:footnoteReference w:id="107"/>
      </w:r>
      <w:r w:rsidR="00D7667A" w:rsidRPr="00D7667A">
        <w:rPr>
          <w:rFonts w:ascii="Times New Roman" w:eastAsia="Times New Roman" w:hAnsi="Times New Roman" w:cs="Times New Roman"/>
          <w:kern w:val="0"/>
          <w14:ligatures w14:val="none"/>
        </w:rPr>
        <w:t xml:space="preserve"> The Court analogized the right of publicity to </w:t>
      </w:r>
      <w:r w:rsidR="00D7667A" w:rsidRPr="00D7667A">
        <w:rPr>
          <w:rFonts w:ascii="Times New Roman" w:eastAsia="Times New Roman" w:hAnsi="Times New Roman" w:cs="Times New Roman"/>
          <w:kern w:val="0"/>
          <w14:ligatures w14:val="none"/>
        </w:rPr>
        <w:lastRenderedPageBreak/>
        <w:t>copyright and patent, describing it as an incentive to create by allowing individuals to reap the fruits of their labor.</w:t>
      </w:r>
      <w:r w:rsidR="00B7372E">
        <w:rPr>
          <w:rStyle w:val="FootnoteReference"/>
          <w:rFonts w:ascii="Times New Roman" w:eastAsia="Times New Roman" w:hAnsi="Times New Roman" w:cs="Times New Roman"/>
          <w:kern w:val="0"/>
          <w14:ligatures w14:val="none"/>
        </w:rPr>
        <w:footnoteReference w:id="108"/>
      </w:r>
    </w:p>
    <w:p w14:paraId="135C7EA3" w14:textId="7469EB2A" w:rsidR="00D7667A" w:rsidRPr="00D7667A" w:rsidRDefault="00D7667A" w:rsidP="00D7667A">
      <w:pPr>
        <w:spacing w:before="100" w:beforeAutospacing="1" w:after="100" w:afterAutospacing="1" w:line="240" w:lineRule="auto"/>
        <w:rPr>
          <w:rFonts w:ascii="Times New Roman" w:eastAsia="Times New Roman" w:hAnsi="Times New Roman" w:cs="Times New Roman"/>
          <w:kern w:val="0"/>
          <w14:ligatures w14:val="none"/>
        </w:rPr>
      </w:pPr>
      <w:r w:rsidRPr="00D7667A">
        <w:rPr>
          <w:rFonts w:ascii="Times New Roman" w:eastAsia="Times New Roman" w:hAnsi="Times New Roman" w:cs="Times New Roman"/>
          <w:kern w:val="0"/>
          <w14:ligatures w14:val="none"/>
        </w:rPr>
        <w:t>Modern courts have sought to balance that proprietary interest with expressive freedom. The California Supreme Court</w:t>
      </w:r>
      <w:r w:rsidR="001340D8">
        <w:rPr>
          <w:rFonts w:ascii="Times New Roman" w:eastAsia="Times New Roman" w:hAnsi="Times New Roman" w:cs="Times New Roman"/>
          <w:kern w:val="0"/>
          <w14:ligatures w14:val="none"/>
        </w:rPr>
        <w:t>,</w:t>
      </w:r>
      <w:r w:rsidRPr="00D7667A">
        <w:rPr>
          <w:rFonts w:ascii="Times New Roman" w:eastAsia="Times New Roman" w:hAnsi="Times New Roman" w:cs="Times New Roman"/>
          <w:kern w:val="0"/>
          <w14:ligatures w14:val="none"/>
        </w:rPr>
        <w:t xml:space="preserve"> in </w:t>
      </w:r>
      <w:r w:rsidRPr="00D7667A">
        <w:rPr>
          <w:rFonts w:ascii="Times New Roman" w:eastAsia="Times New Roman" w:hAnsi="Times New Roman" w:cs="Times New Roman"/>
          <w:i/>
          <w:iCs/>
          <w:kern w:val="0"/>
          <w14:ligatures w14:val="none"/>
        </w:rPr>
        <w:t>Comedy III Productions v. Saderup</w:t>
      </w:r>
      <w:r w:rsidR="001340D8">
        <w:rPr>
          <w:rFonts w:ascii="Times New Roman" w:eastAsia="Times New Roman" w:hAnsi="Times New Roman" w:cs="Times New Roman"/>
          <w:i/>
          <w:iCs/>
          <w:kern w:val="0"/>
          <w14:ligatures w14:val="none"/>
        </w:rPr>
        <w:t>,</w:t>
      </w:r>
      <w:r w:rsidRPr="00D7667A">
        <w:rPr>
          <w:rFonts w:ascii="Times New Roman" w:eastAsia="Times New Roman" w:hAnsi="Times New Roman" w:cs="Times New Roman"/>
          <w:kern w:val="0"/>
          <w14:ligatures w14:val="none"/>
        </w:rPr>
        <w:t xml:space="preserve"> articulated the now-famous “transformative use” test, holding that a charcoal drawing of the Three Stooges on T-shirts infringed </w:t>
      </w:r>
      <w:r w:rsidR="00586145">
        <w:rPr>
          <w:rFonts w:ascii="Times New Roman" w:eastAsia="Times New Roman" w:hAnsi="Times New Roman" w:cs="Times New Roman"/>
          <w:kern w:val="0"/>
          <w14:ligatures w14:val="none"/>
        </w:rPr>
        <w:t>upon the right of public</w:t>
      </w:r>
      <w:r w:rsidR="002F60B8">
        <w:rPr>
          <w:rFonts w:ascii="Times New Roman" w:eastAsia="Times New Roman" w:hAnsi="Times New Roman" w:cs="Times New Roman"/>
          <w:kern w:val="0"/>
          <w14:ligatures w14:val="none"/>
        </w:rPr>
        <w:t>i</w:t>
      </w:r>
      <w:r w:rsidR="00586145">
        <w:rPr>
          <w:rFonts w:ascii="Times New Roman" w:eastAsia="Times New Roman" w:hAnsi="Times New Roman" w:cs="Times New Roman"/>
          <w:kern w:val="0"/>
          <w14:ligatures w14:val="none"/>
        </w:rPr>
        <w:t xml:space="preserve">ty </w:t>
      </w:r>
      <w:r w:rsidRPr="00D7667A">
        <w:rPr>
          <w:rFonts w:ascii="Times New Roman" w:eastAsia="Times New Roman" w:hAnsi="Times New Roman" w:cs="Times New Roman"/>
          <w:kern w:val="0"/>
          <w14:ligatures w14:val="none"/>
        </w:rPr>
        <w:t>because it merely replicated their likenesses without adding new expression.</w:t>
      </w:r>
      <w:r>
        <w:rPr>
          <w:rStyle w:val="FootnoteReference"/>
          <w:rFonts w:ascii="Times New Roman" w:eastAsia="Times New Roman" w:hAnsi="Times New Roman" w:cs="Times New Roman"/>
          <w:kern w:val="0"/>
          <w14:ligatures w14:val="none"/>
        </w:rPr>
        <w:footnoteReference w:id="109"/>
      </w:r>
      <w:r w:rsidRPr="00D7667A">
        <w:rPr>
          <w:rFonts w:ascii="Times New Roman" w:eastAsia="Times New Roman" w:hAnsi="Times New Roman" w:cs="Times New Roman"/>
          <w:kern w:val="0"/>
          <w14:ligatures w14:val="none"/>
        </w:rPr>
        <w:t xml:space="preserve"> Two years later, </w:t>
      </w:r>
      <w:r w:rsidRPr="00D7667A">
        <w:rPr>
          <w:rFonts w:ascii="Times New Roman" w:eastAsia="Times New Roman" w:hAnsi="Times New Roman" w:cs="Times New Roman"/>
          <w:i/>
          <w:iCs/>
          <w:kern w:val="0"/>
          <w14:ligatures w14:val="none"/>
        </w:rPr>
        <w:t>Winter v. DC Comics</w:t>
      </w:r>
      <w:r w:rsidRPr="00D7667A">
        <w:rPr>
          <w:rFonts w:ascii="Times New Roman" w:eastAsia="Times New Roman" w:hAnsi="Times New Roman" w:cs="Times New Roman"/>
          <w:kern w:val="0"/>
          <w14:ligatures w14:val="none"/>
        </w:rPr>
        <w:t xml:space="preserve"> reached the opposite result, finding that grotesque comic-book caricatures of musicians Johnny and Edgar Winter were transformative because they conveyed new expressive content.</w:t>
      </w:r>
      <w:r w:rsidR="00B7372E">
        <w:rPr>
          <w:rStyle w:val="FootnoteReference"/>
          <w:rFonts w:ascii="Times New Roman" w:eastAsia="Times New Roman" w:hAnsi="Times New Roman" w:cs="Times New Roman"/>
          <w:kern w:val="0"/>
          <w14:ligatures w14:val="none"/>
        </w:rPr>
        <w:footnoteReference w:id="110"/>
      </w:r>
      <w:r w:rsidRPr="00D7667A">
        <w:rPr>
          <w:rFonts w:ascii="Times New Roman" w:eastAsia="Times New Roman" w:hAnsi="Times New Roman" w:cs="Times New Roman"/>
          <w:kern w:val="0"/>
          <w14:ligatures w14:val="none"/>
        </w:rPr>
        <w:t xml:space="preserve"> The California Court of Appeal applied the same framework in </w:t>
      </w:r>
      <w:r w:rsidRPr="00D7667A">
        <w:rPr>
          <w:rFonts w:ascii="Times New Roman" w:eastAsia="Times New Roman" w:hAnsi="Times New Roman" w:cs="Times New Roman"/>
          <w:i/>
          <w:iCs/>
          <w:kern w:val="0"/>
          <w14:ligatures w14:val="none"/>
        </w:rPr>
        <w:t>No Doubt v. Activision</w:t>
      </w:r>
      <w:r w:rsidRPr="00D7667A">
        <w:rPr>
          <w:rFonts w:ascii="Times New Roman" w:eastAsia="Times New Roman" w:hAnsi="Times New Roman" w:cs="Times New Roman"/>
          <w:kern w:val="0"/>
          <w14:ligatures w14:val="none"/>
        </w:rPr>
        <w:t>, holding that realistic avatars of band members performing songs under their own names were no</w:t>
      </w:r>
      <w:r w:rsidR="00586145">
        <w:rPr>
          <w:rFonts w:ascii="Times New Roman" w:eastAsia="Times New Roman" w:hAnsi="Times New Roman" w:cs="Times New Roman"/>
          <w:kern w:val="0"/>
          <w14:ligatures w14:val="none"/>
        </w:rPr>
        <w:t xml:space="preserve">t </w:t>
      </w:r>
      <w:r w:rsidRPr="00D7667A">
        <w:rPr>
          <w:rFonts w:ascii="Times New Roman" w:eastAsia="Times New Roman" w:hAnsi="Times New Roman" w:cs="Times New Roman"/>
          <w:kern w:val="0"/>
          <w14:ligatures w14:val="none"/>
        </w:rPr>
        <w:t>transformative.</w:t>
      </w:r>
      <w:r w:rsidR="00B7372E">
        <w:rPr>
          <w:rStyle w:val="FootnoteReference"/>
          <w:rFonts w:ascii="Times New Roman" w:eastAsia="Times New Roman" w:hAnsi="Times New Roman" w:cs="Times New Roman"/>
          <w:kern w:val="0"/>
          <w14:ligatures w14:val="none"/>
        </w:rPr>
        <w:footnoteReference w:id="111"/>
      </w:r>
    </w:p>
    <w:p w14:paraId="1C799F4A" w14:textId="69581FFB" w:rsidR="00362DE3" w:rsidRDefault="00362DE3" w:rsidP="00D7667A">
      <w:pPr>
        <w:spacing w:before="100" w:beforeAutospacing="1" w:after="100" w:afterAutospacing="1" w:line="240" w:lineRule="auto"/>
        <w:rPr>
          <w:rFonts w:ascii="Times New Roman" w:eastAsia="Times New Roman" w:hAnsi="Times New Roman" w:cs="Times New Roman"/>
          <w:kern w:val="0"/>
          <w14:ligatures w14:val="none"/>
        </w:rPr>
      </w:pPr>
      <w:r w:rsidRPr="00362DE3">
        <w:rPr>
          <w:rFonts w:ascii="Times New Roman" w:eastAsia="Times New Roman" w:hAnsi="Times New Roman" w:cs="Times New Roman"/>
          <w:kern w:val="0"/>
          <w14:ligatures w14:val="none"/>
        </w:rPr>
        <w:t>Because the right of publicity remains a matter of state law, significant variation persists.</w:t>
      </w:r>
      <w:r w:rsidR="005840EA">
        <w:rPr>
          <w:rStyle w:val="FootnoteReference"/>
          <w:rFonts w:ascii="Times New Roman" w:eastAsia="Times New Roman" w:hAnsi="Times New Roman" w:cs="Times New Roman"/>
          <w:kern w:val="0"/>
          <w14:ligatures w14:val="none"/>
        </w:rPr>
        <w:footnoteReference w:id="112"/>
      </w:r>
      <w:r w:rsidRPr="00362DE3">
        <w:rPr>
          <w:rFonts w:ascii="Times New Roman" w:eastAsia="Times New Roman" w:hAnsi="Times New Roman" w:cs="Times New Roman"/>
          <w:kern w:val="0"/>
          <w14:ligatures w14:val="none"/>
        </w:rPr>
        <w:t xml:space="preserve"> California recognizes both statutory and common-law versions</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113"/>
      </w:r>
      <w:r w:rsidRPr="00362DE3">
        <w:rPr>
          <w:rFonts w:ascii="Times New Roman" w:eastAsia="Times New Roman" w:hAnsi="Times New Roman" w:cs="Times New Roman"/>
          <w:kern w:val="0"/>
          <w14:ligatures w14:val="none"/>
        </w:rPr>
        <w:t xml:space="preserve"> New York provides both a privacy-based statute</w:t>
      </w:r>
      <w:r w:rsidR="000E61B9">
        <w:rPr>
          <w:rStyle w:val="FootnoteReference"/>
          <w:rFonts w:ascii="Times New Roman" w:eastAsia="Times New Roman" w:hAnsi="Times New Roman" w:cs="Times New Roman"/>
          <w:kern w:val="0"/>
          <w14:ligatures w14:val="none"/>
        </w:rPr>
        <w:footnoteReference w:id="114"/>
      </w:r>
      <w:r w:rsidRPr="00362DE3">
        <w:rPr>
          <w:rFonts w:ascii="Times New Roman" w:eastAsia="Times New Roman" w:hAnsi="Times New Roman" w:cs="Times New Roman"/>
          <w:kern w:val="0"/>
          <w14:ligatures w14:val="none"/>
        </w:rPr>
        <w:t xml:space="preserve"> and a distinct postmortem right for “deceased performers” and “deceased personalities”.</w:t>
      </w:r>
      <w:r>
        <w:rPr>
          <w:rStyle w:val="FootnoteReference"/>
          <w:rFonts w:ascii="Times New Roman" w:eastAsia="Times New Roman" w:hAnsi="Times New Roman" w:cs="Times New Roman"/>
          <w:kern w:val="0"/>
          <w14:ligatures w14:val="none"/>
        </w:rPr>
        <w:footnoteReference w:id="115"/>
      </w:r>
      <w:r w:rsidRPr="00362DE3">
        <w:rPr>
          <w:rFonts w:ascii="Times New Roman" w:eastAsia="Times New Roman" w:hAnsi="Times New Roman" w:cs="Times New Roman"/>
          <w:kern w:val="0"/>
          <w14:ligatures w14:val="none"/>
        </w:rPr>
        <w:t xml:space="preserve"> Indiana extends protection for up to 100 years after death</w:t>
      </w:r>
      <w:r w:rsidR="00713756">
        <w:rPr>
          <w:rFonts w:ascii="Times New Roman" w:eastAsia="Times New Roman" w:hAnsi="Times New Roman" w:cs="Times New Roman"/>
          <w:kern w:val="0"/>
          <w14:ligatures w14:val="none"/>
        </w:rPr>
        <w:t>.</w:t>
      </w:r>
      <w:r w:rsidR="005840EA">
        <w:rPr>
          <w:rStyle w:val="FootnoteReference"/>
          <w:rFonts w:ascii="Times New Roman" w:eastAsia="Times New Roman" w:hAnsi="Times New Roman" w:cs="Times New Roman"/>
          <w:kern w:val="0"/>
          <w14:ligatures w14:val="none"/>
        </w:rPr>
        <w:footnoteReference w:id="116"/>
      </w:r>
      <w:r w:rsidR="005840EA">
        <w:rPr>
          <w:rFonts w:ascii="Times New Roman" w:eastAsia="Times New Roman" w:hAnsi="Times New Roman" w:cs="Times New Roman"/>
          <w:kern w:val="0"/>
          <w14:ligatures w14:val="none"/>
        </w:rPr>
        <w:t xml:space="preserve"> </w:t>
      </w:r>
      <w:r w:rsidRPr="00362DE3">
        <w:rPr>
          <w:rFonts w:ascii="Times New Roman" w:eastAsia="Times New Roman" w:hAnsi="Times New Roman" w:cs="Times New Roman"/>
          <w:kern w:val="0"/>
          <w14:ligatures w14:val="none"/>
        </w:rPr>
        <w:t>Tennessee’s ELVIS Act expressly protects voice and other digital likeness uses.</w:t>
      </w:r>
      <w:r w:rsidR="005840EA">
        <w:rPr>
          <w:rStyle w:val="FootnoteReference"/>
          <w:rFonts w:ascii="Times New Roman" w:eastAsia="Times New Roman" w:hAnsi="Times New Roman" w:cs="Times New Roman"/>
          <w:kern w:val="0"/>
          <w14:ligatures w14:val="none"/>
        </w:rPr>
        <w:footnoteReference w:id="117"/>
      </w:r>
      <w:r w:rsidRPr="00362DE3">
        <w:rPr>
          <w:rFonts w:ascii="Times New Roman" w:eastAsia="Times New Roman" w:hAnsi="Times New Roman" w:cs="Times New Roman"/>
          <w:kern w:val="0"/>
          <w14:ligatures w14:val="none"/>
        </w:rPr>
        <w:t xml:space="preserve"> The result is a </w:t>
      </w:r>
      <w:r w:rsidR="00B12490">
        <w:rPr>
          <w:rFonts w:ascii="Times New Roman" w:eastAsia="Times New Roman" w:hAnsi="Times New Roman" w:cs="Times New Roman"/>
          <w:kern w:val="0"/>
          <w14:ligatures w14:val="none"/>
        </w:rPr>
        <w:t>hodgepodge</w:t>
      </w:r>
      <w:r w:rsidRPr="00362DE3">
        <w:rPr>
          <w:rFonts w:ascii="Times New Roman" w:eastAsia="Times New Roman" w:hAnsi="Times New Roman" w:cs="Times New Roman"/>
          <w:kern w:val="0"/>
          <w14:ligatures w14:val="none"/>
        </w:rPr>
        <w:t xml:space="preserve"> system in which the same </w:t>
      </w:r>
      <w:r w:rsidRPr="00A80DFE">
        <w:rPr>
          <w:rFonts w:ascii="Times New Roman" w:eastAsia="Times New Roman" w:hAnsi="Times New Roman" w:cs="Times New Roman"/>
          <w:i/>
          <w:kern w:val="0"/>
          <w14:ligatures w14:val="none"/>
        </w:rPr>
        <w:t>expressive</w:t>
      </w:r>
      <w:r w:rsidRPr="00362DE3">
        <w:rPr>
          <w:rFonts w:ascii="Times New Roman" w:eastAsia="Times New Roman" w:hAnsi="Times New Roman" w:cs="Times New Roman"/>
          <w:kern w:val="0"/>
          <w14:ligatures w14:val="none"/>
        </w:rPr>
        <w:t xml:space="preserve"> use may be protected in one state and actionable in another.</w:t>
      </w:r>
    </w:p>
    <w:p w14:paraId="1ACBBFE8" w14:textId="47EC15C5" w:rsidR="00DF53B8" w:rsidRDefault="00DF53B8" w:rsidP="00DF53B8">
      <w:pPr>
        <w:pStyle w:val="NormalWeb"/>
      </w:pPr>
      <w:r>
        <w:t xml:space="preserve">As technology blurs the line between human and synthetic identity, the tension between expressive freedom and personal control over likeness will only intensify. The emergence of </w:t>
      </w:r>
      <w:r>
        <w:lastRenderedPageBreak/>
        <w:t xml:space="preserve">generative </w:t>
      </w:r>
      <w:r w:rsidR="00A80DFE">
        <w:t xml:space="preserve">AI </w:t>
      </w:r>
      <w:r>
        <w:t>systems cap</w:t>
      </w:r>
      <w:r w:rsidR="005B3B87">
        <w:t>a</w:t>
      </w:r>
      <w:r>
        <w:t>ble of cloning voices, faces, and creative “styles” transforms what were once theoretical concerns into urgent legal questions about digital identity and authorship.</w:t>
      </w:r>
    </w:p>
    <w:p w14:paraId="00C1951F" w14:textId="118ED9A8" w:rsidR="007E0F5E" w:rsidRPr="007E0F5E" w:rsidRDefault="007E0F5E" w:rsidP="007E0F5E">
      <w:pPr>
        <w:spacing w:before="100" w:beforeAutospacing="1" w:after="100" w:afterAutospacing="1" w:line="240" w:lineRule="auto"/>
        <w:rPr>
          <w:rFonts w:ascii="Times New Roman" w:eastAsia="Times New Roman" w:hAnsi="Times New Roman" w:cs="Times New Roman"/>
          <w:kern w:val="0"/>
          <w14:ligatures w14:val="none"/>
        </w:rPr>
      </w:pPr>
      <w:r w:rsidRPr="007E0F5E">
        <w:rPr>
          <w:rFonts w:ascii="Times New Roman" w:eastAsia="Times New Roman" w:hAnsi="Times New Roman" w:cs="Times New Roman"/>
          <w:kern w:val="0"/>
          <w14:ligatures w14:val="none"/>
        </w:rPr>
        <w:t>The convergence of copyright and the right of publicity exposes an enduring dilemma at the heart of creative law: when does the depiction of a person become an act of authorship rather than appropriation</w:t>
      </w:r>
      <w:r w:rsidR="001340D8">
        <w:rPr>
          <w:rFonts w:ascii="Times New Roman" w:eastAsia="Times New Roman" w:hAnsi="Times New Roman" w:cs="Times New Roman"/>
          <w:kern w:val="0"/>
          <w14:ligatures w14:val="none"/>
        </w:rPr>
        <w:t>, or vice versa</w:t>
      </w:r>
      <w:r w:rsidRPr="007E0F5E">
        <w:rPr>
          <w:rFonts w:ascii="Times New Roman" w:eastAsia="Times New Roman" w:hAnsi="Times New Roman" w:cs="Times New Roman"/>
          <w:kern w:val="0"/>
          <w14:ligatures w14:val="none"/>
        </w:rPr>
        <w:t>?</w:t>
      </w:r>
      <w:r w:rsidR="00B7372E">
        <w:rPr>
          <w:rStyle w:val="FootnoteReference"/>
          <w:rFonts w:ascii="Times New Roman" w:eastAsia="Times New Roman" w:hAnsi="Times New Roman" w:cs="Times New Roman"/>
          <w:kern w:val="0"/>
          <w14:ligatures w14:val="none"/>
        </w:rPr>
        <w:footnoteReference w:id="118"/>
      </w:r>
      <w:r w:rsidRPr="007E0F5E">
        <w:rPr>
          <w:rFonts w:ascii="Times New Roman" w:eastAsia="Times New Roman" w:hAnsi="Times New Roman" w:cs="Times New Roman"/>
          <w:kern w:val="0"/>
          <w14:ligatures w14:val="none"/>
        </w:rPr>
        <w:t xml:space="preserve"> In an era when technology can replicate faces, voices, and gestures with uncanny precision, that question is no longer hypothetical. Every new synthetic likeness—every “digital double” </w:t>
      </w:r>
      <w:r w:rsidR="00A80DFE">
        <w:rPr>
          <w:rFonts w:ascii="Times New Roman" w:eastAsia="Times New Roman" w:hAnsi="Times New Roman" w:cs="Times New Roman"/>
          <w:kern w:val="0"/>
          <w14:ligatures w14:val="none"/>
        </w:rPr>
        <w:t xml:space="preserve">or “deepfake” </w:t>
      </w:r>
      <w:r w:rsidRPr="007E0F5E">
        <w:rPr>
          <w:rFonts w:ascii="Times New Roman" w:eastAsia="Times New Roman" w:hAnsi="Times New Roman" w:cs="Times New Roman"/>
          <w:kern w:val="0"/>
          <w14:ligatures w14:val="none"/>
        </w:rPr>
        <w:t>or AI-generated voice—tests the boundaries of expression and identity.</w:t>
      </w:r>
      <w:r w:rsidR="00B960FE">
        <w:rPr>
          <w:rStyle w:val="FootnoteReference"/>
          <w:rFonts w:ascii="Times New Roman" w:eastAsia="Times New Roman" w:hAnsi="Times New Roman" w:cs="Times New Roman"/>
          <w:kern w:val="0"/>
          <w14:ligatures w14:val="none"/>
        </w:rPr>
        <w:footnoteReference w:id="119"/>
      </w:r>
    </w:p>
    <w:p w14:paraId="1345FC66" w14:textId="3D10DE97" w:rsidR="00CF43AB" w:rsidRPr="00CF43AB" w:rsidRDefault="00CF43AB" w:rsidP="00CF43A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5" w:name="_Toc220693060"/>
      <w:r w:rsidRPr="00CF43AB">
        <w:rPr>
          <w:rFonts w:ascii="Times New Roman" w:eastAsia="Times New Roman" w:hAnsi="Times New Roman" w:cs="Times New Roman"/>
          <w:b/>
          <w:bCs/>
          <w:kern w:val="0"/>
          <w:sz w:val="27"/>
          <w:szCs w:val="27"/>
          <w14:ligatures w14:val="none"/>
        </w:rPr>
        <w:t>D. Subjectivity and the Warhol Paradox</w:t>
      </w:r>
      <w:bookmarkEnd w:id="35"/>
    </w:p>
    <w:p w14:paraId="6B9C7622" w14:textId="0F09A05E" w:rsidR="00492565" w:rsidRDefault="007E0F5E" w:rsidP="007E0F5E">
      <w:pPr>
        <w:spacing w:before="100" w:beforeAutospacing="1" w:after="100" w:afterAutospacing="1" w:line="240" w:lineRule="auto"/>
        <w:rPr>
          <w:rFonts w:ascii="Times New Roman" w:eastAsia="Times New Roman" w:hAnsi="Times New Roman" w:cs="Times New Roman"/>
          <w:kern w:val="0"/>
          <w14:ligatures w14:val="none"/>
        </w:rPr>
      </w:pPr>
      <w:r w:rsidRPr="007E0F5E">
        <w:rPr>
          <w:rFonts w:ascii="Times New Roman" w:eastAsia="Times New Roman" w:hAnsi="Times New Roman" w:cs="Times New Roman"/>
          <w:kern w:val="0"/>
          <w14:ligatures w14:val="none"/>
        </w:rPr>
        <w:t xml:space="preserve">The California cases demonstrate how </w:t>
      </w:r>
      <w:r w:rsidR="00492565">
        <w:rPr>
          <w:rFonts w:ascii="Times New Roman" w:eastAsia="Times New Roman" w:hAnsi="Times New Roman" w:cs="Times New Roman"/>
          <w:kern w:val="0"/>
          <w14:ligatures w14:val="none"/>
        </w:rPr>
        <w:t>fragile</w:t>
      </w:r>
      <w:r w:rsidRPr="007E0F5E">
        <w:rPr>
          <w:rFonts w:ascii="Times New Roman" w:eastAsia="Times New Roman" w:hAnsi="Times New Roman" w:cs="Times New Roman"/>
          <w:kern w:val="0"/>
          <w14:ligatures w14:val="none"/>
        </w:rPr>
        <w:t xml:space="preserve"> that boundary has become. </w:t>
      </w:r>
      <w:r w:rsidRPr="007E0F5E">
        <w:rPr>
          <w:rFonts w:ascii="Times New Roman" w:eastAsia="Times New Roman" w:hAnsi="Times New Roman" w:cs="Times New Roman"/>
          <w:i/>
          <w:iCs/>
          <w:kern w:val="0"/>
          <w14:ligatures w14:val="none"/>
        </w:rPr>
        <w:t>Comedy III</w:t>
      </w:r>
      <w:r w:rsidRPr="007E0F5E">
        <w:rPr>
          <w:rFonts w:ascii="Times New Roman" w:eastAsia="Times New Roman" w:hAnsi="Times New Roman" w:cs="Times New Roman"/>
          <w:kern w:val="0"/>
          <w14:ligatures w14:val="none"/>
        </w:rPr>
        <w:t xml:space="preserve"> treated artistic reproduction of celebrity images as unprotected copying;</w:t>
      </w:r>
      <w:r w:rsidR="00443096" w:rsidRPr="00443096">
        <w:rPr>
          <w:rStyle w:val="FootnoteReference"/>
          <w:rFonts w:ascii="Times New Roman" w:eastAsia="Times New Roman" w:hAnsi="Times New Roman" w:cs="Times New Roman"/>
          <w:i/>
          <w:iCs/>
          <w:kern w:val="0"/>
          <w14:ligatures w14:val="none"/>
        </w:rPr>
        <w:t xml:space="preserve"> </w:t>
      </w:r>
      <w:r w:rsidR="00443096">
        <w:rPr>
          <w:rStyle w:val="FootnoteReference"/>
          <w:rFonts w:ascii="Times New Roman" w:eastAsia="Times New Roman" w:hAnsi="Times New Roman" w:cs="Times New Roman"/>
          <w:i/>
          <w:iCs/>
          <w:kern w:val="0"/>
          <w14:ligatures w14:val="none"/>
        </w:rPr>
        <w:footnoteReference w:id="120"/>
      </w:r>
      <w:r w:rsidRPr="007E0F5E">
        <w:rPr>
          <w:rFonts w:ascii="Times New Roman" w:eastAsia="Times New Roman" w:hAnsi="Times New Roman" w:cs="Times New Roman"/>
          <w:kern w:val="0"/>
          <w14:ligatures w14:val="none"/>
        </w:rPr>
        <w:t xml:space="preserve"> </w:t>
      </w:r>
      <w:r w:rsidRPr="007E0F5E">
        <w:rPr>
          <w:rFonts w:ascii="Times New Roman" w:eastAsia="Times New Roman" w:hAnsi="Times New Roman" w:cs="Times New Roman"/>
          <w:i/>
          <w:iCs/>
          <w:kern w:val="0"/>
          <w14:ligatures w14:val="none"/>
        </w:rPr>
        <w:t>Winter</w:t>
      </w:r>
      <w:r w:rsidRPr="007E0F5E">
        <w:rPr>
          <w:rFonts w:ascii="Times New Roman" w:eastAsia="Times New Roman" w:hAnsi="Times New Roman" w:cs="Times New Roman"/>
          <w:kern w:val="0"/>
          <w14:ligatures w14:val="none"/>
        </w:rPr>
        <w:t xml:space="preserve"> treated caricature as creative commentary.</w:t>
      </w:r>
      <w:r w:rsidR="00B7372E">
        <w:rPr>
          <w:rStyle w:val="FootnoteReference"/>
          <w:rFonts w:ascii="Times New Roman" w:eastAsia="Times New Roman" w:hAnsi="Times New Roman" w:cs="Times New Roman"/>
          <w:kern w:val="0"/>
          <w14:ligatures w14:val="none"/>
        </w:rPr>
        <w:footnoteReference w:id="121"/>
      </w:r>
      <w:r w:rsidRPr="007E0F5E">
        <w:rPr>
          <w:rFonts w:ascii="Times New Roman" w:eastAsia="Times New Roman" w:hAnsi="Times New Roman" w:cs="Times New Roman"/>
          <w:kern w:val="0"/>
          <w14:ligatures w14:val="none"/>
        </w:rPr>
        <w:t xml:space="preserve"> The difference turned not on technology or even market effect, but on whether a court perceived sufficient transformation. As the opinion in </w:t>
      </w:r>
      <w:r w:rsidRPr="007E0F5E">
        <w:rPr>
          <w:rFonts w:ascii="Times New Roman" w:eastAsia="Times New Roman" w:hAnsi="Times New Roman" w:cs="Times New Roman"/>
          <w:i/>
          <w:iCs/>
          <w:kern w:val="0"/>
          <w14:ligatures w14:val="none"/>
        </w:rPr>
        <w:t>Comedy III</w:t>
      </w:r>
      <w:r w:rsidRPr="007E0F5E">
        <w:rPr>
          <w:rFonts w:ascii="Times New Roman" w:eastAsia="Times New Roman" w:hAnsi="Times New Roman" w:cs="Times New Roman"/>
          <w:kern w:val="0"/>
          <w14:ligatures w14:val="none"/>
        </w:rPr>
        <w:t xml:space="preserve"> put it, the artist must add </w:t>
      </w:r>
      <w:r w:rsidR="00324529">
        <w:rPr>
          <w:rFonts w:ascii="Times New Roman" w:eastAsia="Times New Roman" w:hAnsi="Times New Roman" w:cs="Times New Roman"/>
          <w:kern w:val="0"/>
          <w14:ligatures w14:val="none"/>
        </w:rPr>
        <w:t>“</w:t>
      </w:r>
      <w:r w:rsidRPr="007E0F5E">
        <w:rPr>
          <w:rFonts w:ascii="Times New Roman" w:eastAsia="Times New Roman" w:hAnsi="Times New Roman" w:cs="Times New Roman"/>
          <w:kern w:val="0"/>
          <w14:ligatures w14:val="none"/>
        </w:rPr>
        <w:t>something new, with a further purpose or different character, altering the first with new expression, meaning, or message.”</w:t>
      </w:r>
      <w:r w:rsidR="00B7372E">
        <w:rPr>
          <w:rStyle w:val="FootnoteReference"/>
          <w:rFonts w:ascii="Times New Roman" w:eastAsia="Times New Roman" w:hAnsi="Times New Roman" w:cs="Times New Roman"/>
          <w:kern w:val="0"/>
          <w14:ligatures w14:val="none"/>
        </w:rPr>
        <w:footnoteReference w:id="122"/>
      </w:r>
      <w:r w:rsidRPr="007E0F5E">
        <w:rPr>
          <w:rFonts w:ascii="Times New Roman" w:eastAsia="Times New Roman" w:hAnsi="Times New Roman" w:cs="Times New Roman"/>
          <w:kern w:val="0"/>
          <w14:ligatures w14:val="none"/>
        </w:rPr>
        <w:t xml:space="preserve"> Yet that language, borrowed from </w:t>
      </w:r>
      <w:r w:rsidRPr="007E0F5E">
        <w:rPr>
          <w:rFonts w:ascii="Times New Roman" w:eastAsia="Times New Roman" w:hAnsi="Times New Roman" w:cs="Times New Roman"/>
          <w:i/>
          <w:iCs/>
          <w:kern w:val="0"/>
          <w14:ligatures w14:val="none"/>
        </w:rPr>
        <w:t>Campbell</w:t>
      </w:r>
      <w:r w:rsidRPr="007E0F5E">
        <w:rPr>
          <w:rFonts w:ascii="Times New Roman" w:eastAsia="Times New Roman" w:hAnsi="Times New Roman" w:cs="Times New Roman"/>
          <w:kern w:val="0"/>
          <w14:ligatures w14:val="none"/>
        </w:rPr>
        <w:t>, remains as subjective as the concept of “art” itself.</w:t>
      </w:r>
      <w:r w:rsidR="00B7372E">
        <w:rPr>
          <w:rStyle w:val="FootnoteReference"/>
          <w:rFonts w:ascii="Times New Roman" w:eastAsia="Times New Roman" w:hAnsi="Times New Roman" w:cs="Times New Roman"/>
          <w:kern w:val="0"/>
          <w14:ligatures w14:val="none"/>
        </w:rPr>
        <w:footnoteReference w:id="123"/>
      </w:r>
      <w:r w:rsidRPr="007E0F5E">
        <w:rPr>
          <w:rFonts w:ascii="Times New Roman" w:eastAsia="Times New Roman" w:hAnsi="Times New Roman" w:cs="Times New Roman"/>
          <w:kern w:val="0"/>
          <w14:ligatures w14:val="none"/>
        </w:rPr>
        <w:t xml:space="preserve"> </w:t>
      </w:r>
    </w:p>
    <w:p w14:paraId="3AB86264" w14:textId="29BF0D08" w:rsidR="007153FC" w:rsidRPr="00492565" w:rsidRDefault="007153FC" w:rsidP="007153FC">
      <w:pPr>
        <w:spacing w:before="100" w:beforeAutospacing="1" w:after="100" w:afterAutospacing="1" w:line="240" w:lineRule="auto"/>
        <w:rPr>
          <w:rFonts w:ascii="Times New Roman" w:eastAsia="Times New Roman" w:hAnsi="Times New Roman" w:cs="Times New Roman"/>
          <w:kern w:val="0"/>
          <w14:ligatures w14:val="none"/>
        </w:rPr>
      </w:pPr>
      <w:r w:rsidRPr="00492565">
        <w:rPr>
          <w:rFonts w:ascii="Times New Roman" w:eastAsia="Times New Roman" w:hAnsi="Times New Roman" w:cs="Times New Roman"/>
          <w:kern w:val="0"/>
          <w14:ligatures w14:val="none"/>
        </w:rPr>
        <w:t xml:space="preserve">The subjective boundary between similarity and transformation was evident in </w:t>
      </w:r>
      <w:r w:rsidRPr="00492565">
        <w:rPr>
          <w:rFonts w:ascii="Times New Roman" w:eastAsia="Times New Roman" w:hAnsi="Times New Roman" w:cs="Times New Roman"/>
          <w:i/>
          <w:iCs/>
          <w:kern w:val="0"/>
          <w14:ligatures w14:val="none"/>
        </w:rPr>
        <w:t>Comedy III</w:t>
      </w:r>
      <w:r w:rsidR="00492565">
        <w:rPr>
          <w:rFonts w:ascii="Times New Roman" w:eastAsia="Times New Roman" w:hAnsi="Times New Roman" w:cs="Times New Roman"/>
          <w:i/>
          <w:iCs/>
          <w:kern w:val="0"/>
          <w14:ligatures w14:val="none"/>
        </w:rPr>
        <w:t xml:space="preserve">, </w:t>
      </w:r>
      <w:r w:rsidR="00492565">
        <w:rPr>
          <w:rFonts w:ascii="Times New Roman" w:eastAsia="Times New Roman" w:hAnsi="Times New Roman" w:cs="Times New Roman"/>
          <w:kern w:val="0"/>
          <w14:ligatures w14:val="none"/>
        </w:rPr>
        <w:t>when</w:t>
      </w:r>
      <w:r w:rsidRPr="00492565">
        <w:rPr>
          <w:rFonts w:ascii="Times New Roman" w:eastAsia="Times New Roman" w:hAnsi="Times New Roman" w:cs="Times New Roman"/>
          <w:kern w:val="0"/>
          <w14:ligatures w14:val="none"/>
        </w:rPr>
        <w:t xml:space="preserve"> the California Supreme Court held that a charcoal drawing of The Three Stooges, reproduced on T-shirts, infringed because the artist’s technical skill was “manifestly subordinated” to the goal of exploiting celebrity fame.</w:t>
      </w:r>
      <w:r w:rsidR="00492565" w:rsidRPr="00492565">
        <w:rPr>
          <w:rFonts w:ascii="Times New Roman" w:eastAsia="Times New Roman" w:hAnsi="Times New Roman" w:cs="Times New Roman"/>
          <w:i/>
          <w:iCs/>
          <w:kern w:val="0"/>
          <w:vertAlign w:val="superscript"/>
          <w14:ligatures w14:val="none"/>
        </w:rPr>
        <w:t xml:space="preserve"> </w:t>
      </w:r>
      <w:r w:rsidR="00492565" w:rsidRPr="00492565">
        <w:rPr>
          <w:rFonts w:ascii="Times New Roman" w:eastAsia="Times New Roman" w:hAnsi="Times New Roman" w:cs="Times New Roman"/>
          <w:i/>
          <w:iCs/>
          <w:kern w:val="0"/>
          <w:vertAlign w:val="superscript"/>
          <w14:ligatures w14:val="none"/>
        </w:rPr>
        <w:footnoteReference w:id="124"/>
      </w:r>
      <w:r w:rsidRPr="00492565">
        <w:rPr>
          <w:rFonts w:ascii="Times New Roman" w:eastAsia="Times New Roman" w:hAnsi="Times New Roman" w:cs="Times New Roman"/>
          <w:kern w:val="0"/>
          <w14:ligatures w14:val="none"/>
        </w:rPr>
        <w:t xml:space="preserve"> The court contrasted that work with Andy Warhol’s silkscreen </w:t>
      </w:r>
      <w:r w:rsidRPr="00492565">
        <w:rPr>
          <w:rFonts w:ascii="Times New Roman" w:eastAsia="Times New Roman" w:hAnsi="Times New Roman" w:cs="Times New Roman"/>
          <w:kern w:val="0"/>
          <w14:ligatures w14:val="none"/>
        </w:rPr>
        <w:lastRenderedPageBreak/>
        <w:t>portraits of Marilyn Monroe, suggesting that Warhol’s art was “transformative” because it imbued the image with a new expressive meaning.</w:t>
      </w:r>
      <w:r w:rsidRPr="00492565">
        <w:rPr>
          <w:rFonts w:ascii="Times New Roman" w:eastAsia="Times New Roman" w:hAnsi="Times New Roman" w:cs="Times New Roman"/>
          <w:kern w:val="0"/>
          <w:vertAlign w:val="superscript"/>
          <w14:ligatures w14:val="none"/>
        </w:rPr>
        <w:footnoteReference w:id="125"/>
      </w:r>
    </w:p>
    <w:p w14:paraId="4EA37197" w14:textId="08641810" w:rsidR="007153FC" w:rsidRPr="00492565" w:rsidRDefault="007153FC" w:rsidP="007153FC">
      <w:pPr>
        <w:spacing w:before="100" w:beforeAutospacing="1" w:after="100" w:afterAutospacing="1" w:line="240" w:lineRule="auto"/>
        <w:rPr>
          <w:rFonts w:ascii="Times New Roman" w:eastAsia="Times New Roman" w:hAnsi="Times New Roman" w:cs="Times New Roman"/>
          <w:kern w:val="0"/>
          <w14:ligatures w14:val="none"/>
        </w:rPr>
      </w:pPr>
      <w:r w:rsidRPr="00492565">
        <w:rPr>
          <w:rFonts w:ascii="Times New Roman" w:eastAsia="Times New Roman" w:hAnsi="Times New Roman" w:cs="Times New Roman"/>
          <w:kern w:val="0"/>
          <w14:ligatures w14:val="none"/>
        </w:rPr>
        <w:t>Th</w:t>
      </w:r>
      <w:r w:rsidR="008B1574">
        <w:rPr>
          <w:rFonts w:ascii="Times New Roman" w:eastAsia="Times New Roman" w:hAnsi="Times New Roman" w:cs="Times New Roman"/>
          <w:kern w:val="0"/>
          <w14:ligatures w14:val="none"/>
        </w:rPr>
        <w:t>is</w:t>
      </w:r>
      <w:r w:rsidRPr="00492565">
        <w:rPr>
          <w:rFonts w:ascii="Times New Roman" w:eastAsia="Times New Roman" w:hAnsi="Times New Roman" w:cs="Times New Roman"/>
          <w:kern w:val="0"/>
          <w14:ligatures w14:val="none"/>
        </w:rPr>
        <w:t xml:space="preserve"> distinction has always been difficult. Warhol’s own process was</w:t>
      </w:r>
      <w:r w:rsidR="00BB2BE0">
        <w:rPr>
          <w:rFonts w:ascii="Times New Roman" w:eastAsia="Times New Roman" w:hAnsi="Times New Roman" w:cs="Times New Roman"/>
          <w:kern w:val="0"/>
          <w14:ligatures w14:val="none"/>
        </w:rPr>
        <w:t xml:space="preserve"> </w:t>
      </w:r>
      <w:r w:rsidRPr="00492565">
        <w:rPr>
          <w:rFonts w:ascii="Times New Roman" w:eastAsia="Times New Roman" w:hAnsi="Times New Roman" w:cs="Times New Roman"/>
          <w:kern w:val="0"/>
          <w14:ligatures w14:val="none"/>
        </w:rPr>
        <w:t xml:space="preserve">famously mechanical: </w:t>
      </w:r>
      <w:r w:rsidR="00A73FD0">
        <w:rPr>
          <w:rFonts w:ascii="Times New Roman" w:eastAsia="Times New Roman" w:hAnsi="Times New Roman" w:cs="Times New Roman"/>
          <w:kern w:val="0"/>
          <w14:ligatures w14:val="none"/>
        </w:rPr>
        <w:t>“</w:t>
      </w:r>
      <w:r w:rsidRPr="00492565">
        <w:rPr>
          <w:rFonts w:ascii="Times New Roman" w:eastAsia="Times New Roman" w:hAnsi="Times New Roman" w:cs="Times New Roman"/>
          <w:kern w:val="0"/>
          <w14:ligatures w14:val="none"/>
        </w:rPr>
        <w:t xml:space="preserve">he </w:t>
      </w:r>
      <w:r w:rsidR="00A73FD0">
        <w:rPr>
          <w:rFonts w:ascii="Times New Roman" w:eastAsia="Times New Roman" w:hAnsi="Times New Roman" w:cs="Times New Roman"/>
          <w:kern w:val="0"/>
          <w14:ligatures w14:val="none"/>
        </w:rPr>
        <w:t>had the photograph transferred to a silk screen, laid the image down on a canvas with pre-painted background colors, and then altered or enhanced it with other colors, which he applied himself – quite a painterly and labor-intensive procedure</w:t>
      </w:r>
      <w:r w:rsidRPr="00492565">
        <w:rPr>
          <w:rFonts w:ascii="Times New Roman" w:eastAsia="Times New Roman" w:hAnsi="Times New Roman" w:cs="Times New Roman"/>
          <w:kern w:val="0"/>
          <w14:ligatures w14:val="none"/>
        </w:rPr>
        <w:t>.</w:t>
      </w:r>
      <w:r w:rsidR="00A73FD0">
        <w:rPr>
          <w:rFonts w:ascii="Times New Roman" w:eastAsia="Times New Roman" w:hAnsi="Times New Roman" w:cs="Times New Roman"/>
          <w:kern w:val="0"/>
          <w14:ligatures w14:val="none"/>
        </w:rPr>
        <w:t>”</w:t>
      </w:r>
      <w:r w:rsidRPr="00492565">
        <w:rPr>
          <w:rFonts w:ascii="Times New Roman" w:eastAsia="Times New Roman" w:hAnsi="Times New Roman" w:cs="Times New Roman"/>
          <w:kern w:val="0"/>
          <w:vertAlign w:val="superscript"/>
          <w14:ligatures w14:val="none"/>
        </w:rPr>
        <w:footnoteReference w:id="126"/>
      </w:r>
      <w:r w:rsidRPr="00492565">
        <w:rPr>
          <w:rFonts w:ascii="Times New Roman" w:eastAsia="Times New Roman" w:hAnsi="Times New Roman" w:cs="Times New Roman"/>
          <w:kern w:val="0"/>
          <w14:ligatures w14:val="none"/>
        </w:rPr>
        <w:t xml:space="preserve"> His </w:t>
      </w:r>
      <w:r w:rsidRPr="00492565">
        <w:rPr>
          <w:rFonts w:ascii="Times New Roman" w:eastAsia="Times New Roman" w:hAnsi="Times New Roman" w:cs="Times New Roman"/>
          <w:i/>
          <w:iCs/>
          <w:kern w:val="0"/>
          <w14:ligatures w14:val="none"/>
        </w:rPr>
        <w:t>Marilyn Monroe</w:t>
      </w:r>
      <w:r w:rsidRPr="00492565">
        <w:rPr>
          <w:rFonts w:ascii="Times New Roman" w:eastAsia="Times New Roman" w:hAnsi="Times New Roman" w:cs="Times New Roman"/>
          <w:kern w:val="0"/>
          <w14:ligatures w14:val="none"/>
        </w:rPr>
        <w:t xml:space="preserve"> and </w:t>
      </w:r>
      <w:r w:rsidRPr="00492565">
        <w:rPr>
          <w:rFonts w:ascii="Times New Roman" w:eastAsia="Times New Roman" w:hAnsi="Times New Roman" w:cs="Times New Roman"/>
          <w:i/>
          <w:iCs/>
          <w:kern w:val="0"/>
          <w14:ligatures w14:val="none"/>
        </w:rPr>
        <w:t>Prince</w:t>
      </w:r>
      <w:r w:rsidRPr="00492565">
        <w:rPr>
          <w:rFonts w:ascii="Times New Roman" w:eastAsia="Times New Roman" w:hAnsi="Times New Roman" w:cs="Times New Roman"/>
          <w:kern w:val="0"/>
          <w14:ligatures w14:val="none"/>
        </w:rPr>
        <w:t xml:space="preserve"> portraits</w:t>
      </w:r>
      <w:r w:rsidR="00A73FD0">
        <w:rPr>
          <w:rFonts w:ascii="Times New Roman" w:eastAsia="Times New Roman" w:hAnsi="Times New Roman" w:cs="Times New Roman"/>
          <w:kern w:val="0"/>
          <w14:ligatures w14:val="none"/>
        </w:rPr>
        <w:t>, as well as others</w:t>
      </w:r>
      <w:r w:rsidR="00664D5E">
        <w:rPr>
          <w:rFonts w:ascii="Times New Roman" w:eastAsia="Times New Roman" w:hAnsi="Times New Roman" w:cs="Times New Roman"/>
          <w:kern w:val="0"/>
          <w14:ligatures w14:val="none"/>
        </w:rPr>
        <w:t>, for example, of Elizabeth Taylor, Jackie Kennedy, and Ma</w:t>
      </w:r>
      <w:r w:rsidR="00A266CE">
        <w:rPr>
          <w:rFonts w:ascii="Times New Roman" w:eastAsia="Times New Roman" w:hAnsi="Times New Roman" w:cs="Times New Roman"/>
          <w:kern w:val="0"/>
          <w14:ligatures w14:val="none"/>
        </w:rPr>
        <w:t>o</w:t>
      </w:r>
      <w:r w:rsidR="00664D5E">
        <w:rPr>
          <w:rFonts w:ascii="Times New Roman" w:eastAsia="Times New Roman" w:hAnsi="Times New Roman" w:cs="Times New Roman"/>
          <w:kern w:val="0"/>
          <w14:ligatures w14:val="none"/>
        </w:rPr>
        <w:t xml:space="preserve">, all </w:t>
      </w:r>
      <w:r w:rsidRPr="00492565">
        <w:rPr>
          <w:rFonts w:ascii="Times New Roman" w:eastAsia="Times New Roman" w:hAnsi="Times New Roman" w:cs="Times New Roman"/>
          <w:kern w:val="0"/>
          <w14:ligatures w14:val="none"/>
        </w:rPr>
        <w:t>share</w:t>
      </w:r>
      <w:r w:rsidR="00664D5E">
        <w:rPr>
          <w:rFonts w:ascii="Times New Roman" w:eastAsia="Times New Roman" w:hAnsi="Times New Roman" w:cs="Times New Roman"/>
          <w:kern w:val="0"/>
          <w14:ligatures w14:val="none"/>
        </w:rPr>
        <w:t>d</w:t>
      </w:r>
      <w:r w:rsidRPr="00492565">
        <w:rPr>
          <w:rFonts w:ascii="Times New Roman" w:eastAsia="Times New Roman" w:hAnsi="Times New Roman" w:cs="Times New Roman"/>
          <w:kern w:val="0"/>
          <w14:ligatures w14:val="none"/>
        </w:rPr>
        <w:t xml:space="preserve"> nearly identical compositions—the same cropped headshot, the same high-contrast tonality, the same repetition of panels differing only in hue. </w:t>
      </w:r>
      <w:r w:rsidR="00664D5E">
        <w:rPr>
          <w:rFonts w:ascii="Times New Roman" w:eastAsia="Times New Roman" w:hAnsi="Times New Roman" w:cs="Times New Roman"/>
          <w:kern w:val="0"/>
          <w14:ligatures w14:val="none"/>
        </w:rPr>
        <w:t>Warhol</w:t>
      </w:r>
      <w:r w:rsidR="00A266CE">
        <w:rPr>
          <w:rFonts w:ascii="Times New Roman" w:eastAsia="Times New Roman" w:hAnsi="Times New Roman" w:cs="Times New Roman"/>
          <w:kern w:val="0"/>
          <w14:ligatures w14:val="none"/>
        </w:rPr>
        <w:t xml:space="preserve"> reportedly stated a desire to be “machine-like” in his art.</w:t>
      </w:r>
      <w:r w:rsidR="00B66705">
        <w:rPr>
          <w:rStyle w:val="FootnoteReference"/>
          <w:rFonts w:ascii="Times New Roman" w:eastAsia="Times New Roman" w:hAnsi="Times New Roman" w:cs="Times New Roman"/>
          <w:kern w:val="0"/>
          <w14:ligatures w14:val="none"/>
        </w:rPr>
        <w:footnoteReference w:id="127"/>
      </w:r>
      <w:r w:rsidR="00A266CE">
        <w:rPr>
          <w:rFonts w:ascii="Times New Roman" w:eastAsia="Times New Roman" w:hAnsi="Times New Roman" w:cs="Times New Roman"/>
          <w:kern w:val="0"/>
          <w14:ligatures w14:val="none"/>
        </w:rPr>
        <w:t xml:space="preserve"> There is no doubt that seeing a “Warhol” instantly evokes the “sense” of Pop Art and the 1960s </w:t>
      </w:r>
      <w:r w:rsidR="00B66705">
        <w:rPr>
          <w:rFonts w:ascii="Times New Roman" w:eastAsia="Times New Roman" w:hAnsi="Times New Roman" w:cs="Times New Roman"/>
          <w:kern w:val="0"/>
          <w14:ligatures w14:val="none"/>
        </w:rPr>
        <w:t>and</w:t>
      </w:r>
      <w:r w:rsidR="00A266CE">
        <w:rPr>
          <w:rFonts w:ascii="Times New Roman" w:eastAsia="Times New Roman" w:hAnsi="Times New Roman" w:cs="Times New Roman"/>
          <w:kern w:val="0"/>
          <w14:ligatures w14:val="none"/>
        </w:rPr>
        <w:t xml:space="preserve"> 1970s, but what we must focus on here is the transformation from one expression of </w:t>
      </w:r>
      <w:r w:rsidR="00B66705">
        <w:rPr>
          <w:rFonts w:ascii="Times New Roman" w:eastAsia="Times New Roman" w:hAnsi="Times New Roman" w:cs="Times New Roman"/>
          <w:kern w:val="0"/>
          <w14:ligatures w14:val="none"/>
        </w:rPr>
        <w:t xml:space="preserve">a </w:t>
      </w:r>
      <w:r w:rsidR="00A266CE">
        <w:rPr>
          <w:rFonts w:ascii="Times New Roman" w:eastAsia="Times New Roman" w:hAnsi="Times New Roman" w:cs="Times New Roman"/>
          <w:kern w:val="0"/>
          <w14:ligatures w14:val="none"/>
        </w:rPr>
        <w:t>copyright</w:t>
      </w:r>
      <w:r w:rsidR="003F497B">
        <w:rPr>
          <w:rFonts w:ascii="Times New Roman" w:eastAsia="Times New Roman" w:hAnsi="Times New Roman" w:cs="Times New Roman"/>
          <w:kern w:val="0"/>
          <w14:ligatures w14:val="none"/>
        </w:rPr>
        <w:t>ed</w:t>
      </w:r>
      <w:r w:rsidR="00A266CE">
        <w:rPr>
          <w:rFonts w:ascii="Times New Roman" w:eastAsia="Times New Roman" w:hAnsi="Times New Roman" w:cs="Times New Roman"/>
          <w:kern w:val="0"/>
          <w14:ligatures w14:val="none"/>
        </w:rPr>
        <w:t xml:space="preserve"> work, an original photograph, to possibly another, a work based closely upon the first. Regarding both </w:t>
      </w:r>
      <w:r w:rsidR="00A266CE" w:rsidRPr="00A266CE">
        <w:rPr>
          <w:rFonts w:ascii="Times New Roman" w:eastAsia="Times New Roman" w:hAnsi="Times New Roman" w:cs="Times New Roman"/>
          <w:i/>
          <w:kern w:val="0"/>
          <w14:ligatures w14:val="none"/>
        </w:rPr>
        <w:t>Marilyn</w:t>
      </w:r>
      <w:r w:rsidR="00A266CE">
        <w:rPr>
          <w:rFonts w:ascii="Times New Roman" w:eastAsia="Times New Roman" w:hAnsi="Times New Roman" w:cs="Times New Roman"/>
          <w:kern w:val="0"/>
          <w14:ligatures w14:val="none"/>
        </w:rPr>
        <w:t xml:space="preserve"> and </w:t>
      </w:r>
      <w:r w:rsidR="00A266CE" w:rsidRPr="00A266CE">
        <w:rPr>
          <w:rFonts w:ascii="Times New Roman" w:eastAsia="Times New Roman" w:hAnsi="Times New Roman" w:cs="Times New Roman"/>
          <w:i/>
          <w:kern w:val="0"/>
          <w14:ligatures w14:val="none"/>
        </w:rPr>
        <w:t>Prince</w:t>
      </w:r>
      <w:r w:rsidRPr="00492565">
        <w:rPr>
          <w:rFonts w:ascii="Times New Roman" w:eastAsia="Times New Roman" w:hAnsi="Times New Roman" w:cs="Times New Roman"/>
          <w:kern w:val="0"/>
          <w14:ligatures w14:val="none"/>
        </w:rPr>
        <w:t>, the “transformation” lay less in expressive commentary than in serial reproduction and colorization.</w:t>
      </w:r>
      <w:r w:rsidR="00A266CE">
        <w:rPr>
          <w:rStyle w:val="FootnoteReference"/>
          <w:rFonts w:ascii="Times New Roman" w:eastAsia="Times New Roman" w:hAnsi="Times New Roman" w:cs="Times New Roman"/>
          <w:kern w:val="0"/>
          <w14:ligatures w14:val="none"/>
        </w:rPr>
        <w:footnoteReference w:id="128"/>
      </w:r>
      <w:r w:rsidRPr="00492565">
        <w:rPr>
          <w:rFonts w:ascii="Times New Roman" w:eastAsia="Times New Roman" w:hAnsi="Times New Roman" w:cs="Times New Roman"/>
          <w:kern w:val="0"/>
          <w14:ligatures w14:val="none"/>
        </w:rPr>
        <w:t xml:space="preserve"> Yet </w:t>
      </w:r>
      <w:r w:rsidRPr="00492565">
        <w:rPr>
          <w:rFonts w:ascii="Times New Roman" w:eastAsia="Times New Roman" w:hAnsi="Times New Roman" w:cs="Times New Roman"/>
          <w:i/>
          <w:iCs/>
          <w:kern w:val="0"/>
          <w14:ligatures w14:val="none"/>
        </w:rPr>
        <w:t>Comedy III</w:t>
      </w:r>
      <w:r w:rsidRPr="00492565">
        <w:rPr>
          <w:rFonts w:ascii="Times New Roman" w:eastAsia="Times New Roman" w:hAnsi="Times New Roman" w:cs="Times New Roman"/>
          <w:kern w:val="0"/>
          <w14:ligatures w14:val="none"/>
        </w:rPr>
        <w:t xml:space="preserve"> treated Warhol’s celebrity as proof of artistic skill: if the artist was famous enough, the </w:t>
      </w:r>
      <w:r w:rsidR="00380345">
        <w:rPr>
          <w:rFonts w:ascii="Times New Roman" w:eastAsia="Times New Roman" w:hAnsi="Times New Roman" w:cs="Times New Roman"/>
          <w:kern w:val="0"/>
          <w14:ligatures w14:val="none"/>
        </w:rPr>
        <w:t>work</w:t>
      </w:r>
      <w:r w:rsidRPr="00492565">
        <w:rPr>
          <w:rFonts w:ascii="Times New Roman" w:eastAsia="Times New Roman" w:hAnsi="Times New Roman" w:cs="Times New Roman"/>
          <w:kern w:val="0"/>
          <w14:ligatures w14:val="none"/>
        </w:rPr>
        <w:t xml:space="preserve"> </w:t>
      </w:r>
      <w:r w:rsidR="00A266CE">
        <w:rPr>
          <w:rFonts w:ascii="Times New Roman" w:eastAsia="Times New Roman" w:hAnsi="Times New Roman" w:cs="Times New Roman"/>
          <w:kern w:val="0"/>
          <w14:ligatures w14:val="none"/>
        </w:rPr>
        <w:t>must be</w:t>
      </w:r>
      <w:r w:rsidRPr="00492565">
        <w:rPr>
          <w:rFonts w:ascii="Times New Roman" w:eastAsia="Times New Roman" w:hAnsi="Times New Roman" w:cs="Times New Roman"/>
          <w:kern w:val="0"/>
          <w14:ligatures w14:val="none"/>
        </w:rPr>
        <w:t xml:space="preserve"> art.</w:t>
      </w:r>
      <w:r w:rsidRPr="00492565">
        <w:rPr>
          <w:rFonts w:ascii="Times New Roman" w:eastAsia="Times New Roman" w:hAnsi="Times New Roman" w:cs="Times New Roman"/>
          <w:kern w:val="0"/>
          <w:vertAlign w:val="superscript"/>
          <w14:ligatures w14:val="none"/>
        </w:rPr>
        <w:footnoteReference w:id="129"/>
      </w:r>
    </w:p>
    <w:p w14:paraId="14119BE2" w14:textId="781F38B2" w:rsidR="00492565" w:rsidRPr="00492565" w:rsidRDefault="00492565" w:rsidP="00492565">
      <w:pPr>
        <w:spacing w:before="100" w:beforeAutospacing="1" w:after="100" w:afterAutospacing="1" w:line="240" w:lineRule="auto"/>
        <w:rPr>
          <w:rFonts w:ascii="Times New Roman" w:eastAsia="Times New Roman" w:hAnsi="Times New Roman" w:cs="Times New Roman"/>
          <w:kern w:val="0"/>
          <w14:ligatures w14:val="none"/>
        </w:rPr>
      </w:pPr>
      <w:r w:rsidRPr="007E0F5E">
        <w:rPr>
          <w:rFonts w:ascii="Times New Roman" w:eastAsia="Times New Roman" w:hAnsi="Times New Roman" w:cs="Times New Roman"/>
          <w:kern w:val="0"/>
          <w14:ligatures w14:val="none"/>
        </w:rPr>
        <w:t>Why was Warhol’s silkscreen of Marilyn Monroe deemed transformative when the charcoal sketch of the Three Stooges was not?</w:t>
      </w:r>
      <w:r>
        <w:rPr>
          <w:rStyle w:val="FootnoteReference"/>
          <w:rFonts w:ascii="Times New Roman" w:eastAsia="Times New Roman" w:hAnsi="Times New Roman" w:cs="Times New Roman"/>
          <w:kern w:val="0"/>
          <w14:ligatures w14:val="none"/>
        </w:rPr>
        <w:footnoteReference w:id="130"/>
      </w:r>
      <w:r w:rsidRPr="007E0F5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What if Gary Saderup had been as famous as Andy Warhol; or what if Saderup had decided to embellish the lithograph with a little more shadow or texture? </w:t>
      </w:r>
      <w:r w:rsidRPr="007E0F5E">
        <w:rPr>
          <w:rFonts w:ascii="Times New Roman" w:eastAsia="Times New Roman" w:hAnsi="Times New Roman" w:cs="Times New Roman"/>
          <w:kern w:val="0"/>
          <w14:ligatures w14:val="none"/>
        </w:rPr>
        <w:t xml:space="preserve">The inconsistency suggests that transformation, while central to both copyright and </w:t>
      </w:r>
      <w:r w:rsidRPr="007E0F5E">
        <w:rPr>
          <w:rFonts w:ascii="Times New Roman" w:eastAsia="Times New Roman" w:hAnsi="Times New Roman" w:cs="Times New Roman"/>
          <w:kern w:val="0"/>
          <w14:ligatures w14:val="none"/>
        </w:rPr>
        <w:lastRenderedPageBreak/>
        <w:t xml:space="preserve">publicity analysis, </w:t>
      </w:r>
      <w:r w:rsidR="001C1240">
        <w:rPr>
          <w:rFonts w:ascii="Times New Roman" w:eastAsia="Times New Roman" w:hAnsi="Times New Roman" w:cs="Times New Roman"/>
          <w:kern w:val="0"/>
          <w14:ligatures w14:val="none"/>
        </w:rPr>
        <w:t xml:space="preserve">is not only very subjective, but may also </w:t>
      </w:r>
      <w:r w:rsidRPr="007E0F5E">
        <w:rPr>
          <w:rFonts w:ascii="Times New Roman" w:eastAsia="Times New Roman" w:hAnsi="Times New Roman" w:cs="Times New Roman"/>
          <w:kern w:val="0"/>
          <w14:ligatures w14:val="none"/>
        </w:rPr>
        <w:t>depend</w:t>
      </w:r>
      <w:r w:rsidR="001C1240">
        <w:rPr>
          <w:rFonts w:ascii="Times New Roman" w:eastAsia="Times New Roman" w:hAnsi="Times New Roman" w:cs="Times New Roman"/>
          <w:kern w:val="0"/>
          <w14:ligatures w14:val="none"/>
        </w:rPr>
        <w:t xml:space="preserve"> </w:t>
      </w:r>
      <w:r w:rsidRPr="007E0F5E">
        <w:rPr>
          <w:rFonts w:ascii="Times New Roman" w:eastAsia="Times New Roman" w:hAnsi="Times New Roman" w:cs="Times New Roman"/>
          <w:kern w:val="0"/>
          <w14:ligatures w14:val="none"/>
        </w:rPr>
        <w:t>as much on cultural status as on creative process.</w:t>
      </w:r>
      <w:r>
        <w:rPr>
          <w:rStyle w:val="FootnoteReference"/>
          <w:rFonts w:ascii="Times New Roman" w:eastAsia="Times New Roman" w:hAnsi="Times New Roman" w:cs="Times New Roman"/>
          <w:kern w:val="0"/>
          <w14:ligatures w14:val="none"/>
        </w:rPr>
        <w:footnoteReference w:id="131"/>
      </w:r>
      <w:r>
        <w:rPr>
          <w:rFonts w:ascii="Times New Roman" w:eastAsia="Times New Roman" w:hAnsi="Times New Roman" w:cs="Times New Roman"/>
          <w:kern w:val="0"/>
          <w14:ligatures w14:val="none"/>
        </w:rPr>
        <w:t xml:space="preserve">  </w:t>
      </w:r>
    </w:p>
    <w:p w14:paraId="7446398E" w14:textId="67CA81DA" w:rsidR="007153FC" w:rsidRPr="00012AD9" w:rsidRDefault="007153FC" w:rsidP="007153FC">
      <w:pPr>
        <w:spacing w:before="100" w:beforeAutospacing="1" w:after="100" w:afterAutospacing="1" w:line="240" w:lineRule="auto"/>
        <w:rPr>
          <w:rFonts w:ascii="Times New Roman" w:eastAsia="Times New Roman" w:hAnsi="Times New Roman" w:cs="Times New Roman"/>
          <w:kern w:val="0"/>
          <w14:ligatures w14:val="none"/>
        </w:rPr>
      </w:pPr>
      <w:r w:rsidRPr="00012AD9">
        <w:rPr>
          <w:rFonts w:ascii="Times New Roman" w:eastAsia="Times New Roman" w:hAnsi="Times New Roman" w:cs="Times New Roman"/>
          <w:kern w:val="0"/>
          <w14:ligatures w14:val="none"/>
        </w:rPr>
        <w:t xml:space="preserve">The </w:t>
      </w:r>
      <w:r w:rsidRPr="00012AD9">
        <w:rPr>
          <w:rFonts w:ascii="Times New Roman" w:eastAsia="Times New Roman" w:hAnsi="Times New Roman" w:cs="Times New Roman"/>
          <w:i/>
          <w:iCs/>
          <w:kern w:val="0"/>
          <w14:ligatures w14:val="none"/>
        </w:rPr>
        <w:t>Comedy III–Warhol</w:t>
      </w:r>
      <w:r w:rsidRPr="00012AD9">
        <w:rPr>
          <w:rFonts w:ascii="Times New Roman" w:eastAsia="Times New Roman" w:hAnsi="Times New Roman" w:cs="Times New Roman"/>
          <w:kern w:val="0"/>
          <w14:ligatures w14:val="none"/>
        </w:rPr>
        <w:t xml:space="preserve"> arc thus exposes how context and celebrity </w:t>
      </w:r>
      <w:r w:rsidR="00785EA0">
        <w:rPr>
          <w:rFonts w:ascii="Times New Roman" w:eastAsia="Times New Roman" w:hAnsi="Times New Roman" w:cs="Times New Roman"/>
          <w:kern w:val="0"/>
          <w14:ligatures w14:val="none"/>
        </w:rPr>
        <w:t xml:space="preserve">can </w:t>
      </w:r>
      <w:r w:rsidRPr="00012AD9">
        <w:rPr>
          <w:rFonts w:ascii="Times New Roman" w:eastAsia="Times New Roman" w:hAnsi="Times New Roman" w:cs="Times New Roman"/>
          <w:kern w:val="0"/>
          <w14:ligatures w14:val="none"/>
        </w:rPr>
        <w:t>distort doctrinal analysis. The mechanical process that once exemplified “transformation” can also illustrate its limits. The difference lies not in Warhol’s technique</w:t>
      </w:r>
      <w:r w:rsidR="00785EA0">
        <w:rPr>
          <w:rFonts w:ascii="Times New Roman" w:eastAsia="Times New Roman" w:hAnsi="Times New Roman" w:cs="Times New Roman"/>
          <w:kern w:val="0"/>
          <w14:ligatures w14:val="none"/>
        </w:rPr>
        <w:t xml:space="preserve"> </w:t>
      </w:r>
      <w:r w:rsidRPr="00012AD9">
        <w:rPr>
          <w:rFonts w:ascii="Times New Roman" w:eastAsia="Times New Roman" w:hAnsi="Times New Roman" w:cs="Times New Roman"/>
          <w:kern w:val="0"/>
          <w14:ligatures w14:val="none"/>
        </w:rPr>
        <w:t xml:space="preserve">but </w:t>
      </w:r>
      <w:r w:rsidR="00012045">
        <w:rPr>
          <w:rFonts w:ascii="Times New Roman" w:eastAsia="Times New Roman" w:hAnsi="Times New Roman" w:cs="Times New Roman"/>
          <w:kern w:val="0"/>
          <w14:ligatures w14:val="none"/>
        </w:rPr>
        <w:t xml:space="preserve">possibly </w:t>
      </w:r>
      <w:r w:rsidRPr="00012AD9">
        <w:rPr>
          <w:rFonts w:ascii="Times New Roman" w:eastAsia="Times New Roman" w:hAnsi="Times New Roman" w:cs="Times New Roman"/>
          <w:kern w:val="0"/>
          <w14:ligatures w14:val="none"/>
        </w:rPr>
        <w:t>in the law’s shifting tolerance for appropriation cloaked as art. As I have previously observed, “fame intensifies the conflict between identity and expression by making artistic meaning dependent on persona.”</w:t>
      </w:r>
      <w:r w:rsidRPr="00012AD9">
        <w:rPr>
          <w:rStyle w:val="FootnoteReference"/>
          <w:rFonts w:ascii="Times New Roman" w:eastAsia="Times New Roman" w:hAnsi="Times New Roman" w:cs="Times New Roman"/>
          <w:kern w:val="0"/>
          <w14:ligatures w14:val="none"/>
        </w:rPr>
        <w:footnoteReference w:id="132"/>
      </w:r>
    </w:p>
    <w:p w14:paraId="331A6719" w14:textId="746AAE23" w:rsidR="007E0F5E" w:rsidRPr="007E0F5E" w:rsidRDefault="007E0F5E" w:rsidP="007E0F5E">
      <w:pPr>
        <w:spacing w:before="100" w:beforeAutospacing="1" w:after="100" w:afterAutospacing="1" w:line="240" w:lineRule="auto"/>
        <w:rPr>
          <w:rFonts w:ascii="Times New Roman" w:eastAsia="Times New Roman" w:hAnsi="Times New Roman" w:cs="Times New Roman"/>
          <w:kern w:val="0"/>
          <w14:ligatures w14:val="none"/>
        </w:rPr>
      </w:pPr>
      <w:r w:rsidRPr="007E0F5E">
        <w:rPr>
          <w:rFonts w:ascii="Times New Roman" w:eastAsia="Times New Roman" w:hAnsi="Times New Roman" w:cs="Times New Roman"/>
          <w:kern w:val="0"/>
          <w14:ligatures w14:val="none"/>
        </w:rPr>
        <w:t>Artificial intelligence makes this subjectivity impossible to ignore. A machine can now transform an existing image or sound in virtually infinite ways—altering color, rhythm, or tone—without any human judgment about meaning. If transformation once required an author’s intent</w:t>
      </w:r>
      <w:r w:rsidR="00012045">
        <w:rPr>
          <w:rFonts w:ascii="Times New Roman" w:eastAsia="Times New Roman" w:hAnsi="Times New Roman" w:cs="Times New Roman"/>
          <w:kern w:val="0"/>
          <w14:ligatures w14:val="none"/>
        </w:rPr>
        <w:t xml:space="preserve"> or skill</w:t>
      </w:r>
      <w:r w:rsidRPr="007E0F5E">
        <w:rPr>
          <w:rFonts w:ascii="Times New Roman" w:eastAsia="Times New Roman" w:hAnsi="Times New Roman" w:cs="Times New Roman"/>
          <w:kern w:val="0"/>
          <w14:ligatures w14:val="none"/>
        </w:rPr>
        <w:t>, what happens when the “author” is an algorithm responding to a prompt?</w:t>
      </w:r>
      <w:r w:rsidR="00B7372E">
        <w:rPr>
          <w:rStyle w:val="FootnoteReference"/>
          <w:rFonts w:ascii="Times New Roman" w:eastAsia="Times New Roman" w:hAnsi="Times New Roman" w:cs="Times New Roman"/>
          <w:kern w:val="0"/>
          <w14:ligatures w14:val="none"/>
        </w:rPr>
        <w:footnoteReference w:id="133"/>
      </w:r>
      <w:r w:rsidRPr="007E0F5E">
        <w:rPr>
          <w:rFonts w:ascii="Times New Roman" w:eastAsia="Times New Roman" w:hAnsi="Times New Roman" w:cs="Times New Roman"/>
          <w:kern w:val="0"/>
          <w14:ligatures w14:val="none"/>
        </w:rPr>
        <w:t xml:space="preserve"> The law’s reliance on human creativity as a proxy for transformation collapses when creative decision-making becomes automated. The blurred lines between expression and identity thus </w:t>
      </w:r>
      <w:r w:rsidR="004D5D19">
        <w:rPr>
          <w:rFonts w:ascii="Times New Roman" w:eastAsia="Times New Roman" w:hAnsi="Times New Roman" w:cs="Times New Roman"/>
          <w:kern w:val="0"/>
          <w14:ligatures w14:val="none"/>
        </w:rPr>
        <w:t xml:space="preserve">also </w:t>
      </w:r>
      <w:r w:rsidRPr="007E0F5E">
        <w:rPr>
          <w:rFonts w:ascii="Times New Roman" w:eastAsia="Times New Roman" w:hAnsi="Times New Roman" w:cs="Times New Roman"/>
          <w:kern w:val="0"/>
          <w14:ligatures w14:val="none"/>
        </w:rPr>
        <w:t>become blurred lines between human and machine.</w:t>
      </w:r>
    </w:p>
    <w:p w14:paraId="16F2095B" w14:textId="1B0877A4" w:rsidR="007E0F5E" w:rsidRPr="007E0F5E" w:rsidRDefault="007E0F5E" w:rsidP="007E0F5E">
      <w:pPr>
        <w:spacing w:before="100" w:beforeAutospacing="1" w:after="100" w:afterAutospacing="1" w:line="240" w:lineRule="auto"/>
        <w:rPr>
          <w:rFonts w:ascii="Times New Roman" w:eastAsia="Times New Roman" w:hAnsi="Times New Roman" w:cs="Times New Roman"/>
          <w:kern w:val="0"/>
          <w14:ligatures w14:val="none"/>
        </w:rPr>
      </w:pPr>
      <w:r w:rsidRPr="007E0F5E">
        <w:rPr>
          <w:rFonts w:ascii="Times New Roman" w:eastAsia="Times New Roman" w:hAnsi="Times New Roman" w:cs="Times New Roman"/>
          <w:kern w:val="0"/>
          <w14:ligatures w14:val="none"/>
        </w:rPr>
        <w:t xml:space="preserve">The same questions that animated </w:t>
      </w:r>
      <w:r w:rsidR="00380016">
        <w:rPr>
          <w:rFonts w:ascii="Times New Roman" w:eastAsia="Times New Roman" w:hAnsi="Times New Roman" w:cs="Times New Roman"/>
          <w:kern w:val="0"/>
          <w14:ligatures w14:val="none"/>
        </w:rPr>
        <w:t>“</w:t>
      </w:r>
      <w:r w:rsidRPr="00380016">
        <w:rPr>
          <w:rFonts w:ascii="Times New Roman" w:eastAsia="Times New Roman" w:hAnsi="Times New Roman" w:cs="Times New Roman"/>
          <w:kern w:val="0"/>
          <w14:ligatures w14:val="none"/>
        </w:rPr>
        <w:t>Band Hero on Steroids</w:t>
      </w:r>
      <w:r w:rsidR="00380016">
        <w:rPr>
          <w:rFonts w:ascii="Times New Roman" w:eastAsia="Times New Roman" w:hAnsi="Times New Roman" w:cs="Times New Roman"/>
          <w:kern w:val="0"/>
          <w14:ligatures w14:val="none"/>
        </w:rPr>
        <w:t>”</w:t>
      </w:r>
      <w:r w:rsidRPr="007E0F5E">
        <w:rPr>
          <w:rFonts w:ascii="Times New Roman" w:eastAsia="Times New Roman" w:hAnsi="Times New Roman" w:cs="Times New Roman"/>
          <w:kern w:val="0"/>
          <w14:ligatures w14:val="none"/>
        </w:rPr>
        <w:t xml:space="preserve"> now </w:t>
      </w:r>
      <w:r w:rsidR="00181664">
        <w:rPr>
          <w:rFonts w:ascii="Times New Roman" w:eastAsia="Times New Roman" w:hAnsi="Times New Roman" w:cs="Times New Roman"/>
          <w:kern w:val="0"/>
          <w14:ligatures w14:val="none"/>
        </w:rPr>
        <w:t>inhabit the world of generative</w:t>
      </w:r>
      <w:r w:rsidR="00FB0CBF">
        <w:rPr>
          <w:rFonts w:ascii="Times New Roman" w:eastAsia="Times New Roman" w:hAnsi="Times New Roman" w:cs="Times New Roman"/>
          <w:kern w:val="0"/>
          <w14:ligatures w14:val="none"/>
        </w:rPr>
        <w:t xml:space="preserve"> </w:t>
      </w:r>
      <w:r w:rsidR="00181664">
        <w:rPr>
          <w:rFonts w:ascii="Times New Roman" w:eastAsia="Times New Roman" w:hAnsi="Times New Roman" w:cs="Times New Roman"/>
          <w:kern w:val="0"/>
          <w14:ligatures w14:val="none"/>
        </w:rPr>
        <w:t>AI</w:t>
      </w:r>
      <w:r w:rsidRPr="007E0F5E">
        <w:rPr>
          <w:rFonts w:ascii="Times New Roman" w:eastAsia="Times New Roman" w:hAnsi="Times New Roman" w:cs="Times New Roman"/>
          <w:kern w:val="0"/>
          <w14:ligatures w14:val="none"/>
        </w:rPr>
        <w:t>: Who owns a performance when no one physically performs it? Whose identity is invoked when a synthetic avatar sings with a famous voice? At what point does simulation become creation?</w:t>
      </w:r>
      <w:r w:rsidR="00B7372E">
        <w:rPr>
          <w:rStyle w:val="FootnoteReference"/>
          <w:rFonts w:ascii="Times New Roman" w:eastAsia="Times New Roman" w:hAnsi="Times New Roman" w:cs="Times New Roman"/>
          <w:kern w:val="0"/>
          <w14:ligatures w14:val="none"/>
        </w:rPr>
        <w:footnoteReference w:id="134"/>
      </w:r>
      <w:r w:rsidRPr="007E0F5E">
        <w:rPr>
          <w:rFonts w:ascii="Times New Roman" w:eastAsia="Times New Roman" w:hAnsi="Times New Roman" w:cs="Times New Roman"/>
          <w:kern w:val="0"/>
          <w14:ligatures w14:val="none"/>
        </w:rPr>
        <w:t xml:space="preserve"> As these boundaries erode, courts will face a choice—either stretch existing doctrines of authorship and transformation to fit new </w:t>
      </w:r>
      <w:r w:rsidR="00906695" w:rsidRPr="007E0F5E">
        <w:rPr>
          <w:rFonts w:ascii="Times New Roman" w:eastAsia="Times New Roman" w:hAnsi="Times New Roman" w:cs="Times New Roman"/>
          <w:kern w:val="0"/>
          <w14:ligatures w14:val="none"/>
        </w:rPr>
        <w:t>realities or</w:t>
      </w:r>
      <w:r w:rsidRPr="007E0F5E">
        <w:rPr>
          <w:rFonts w:ascii="Times New Roman" w:eastAsia="Times New Roman" w:hAnsi="Times New Roman" w:cs="Times New Roman"/>
          <w:kern w:val="0"/>
          <w14:ligatures w14:val="none"/>
        </w:rPr>
        <w:t xml:space="preserve"> acknowledge that AI forces a reconceptualization of both. For now, the building blocks of copyright and the right of publicity remain the law’s guideposts, even as the terrain beneath them continues to shift.</w:t>
      </w:r>
    </w:p>
    <w:p w14:paraId="5C757537" w14:textId="0F698062" w:rsidR="000445EC" w:rsidRPr="000445EC" w:rsidRDefault="000445EC" w:rsidP="00EC6B8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7" w:name="_Toc220693061"/>
      <w:r w:rsidRPr="000445EC">
        <w:rPr>
          <w:rFonts w:ascii="Times New Roman" w:eastAsia="Times New Roman" w:hAnsi="Times New Roman" w:cs="Times New Roman"/>
          <w:b/>
          <w:bCs/>
          <w:kern w:val="0"/>
          <w:sz w:val="36"/>
          <w:szCs w:val="36"/>
          <w14:ligatures w14:val="none"/>
        </w:rPr>
        <w:t xml:space="preserve">PART VII. </w:t>
      </w:r>
      <w:r w:rsidR="00D34724">
        <w:rPr>
          <w:rFonts w:ascii="Times New Roman" w:eastAsia="Times New Roman" w:hAnsi="Times New Roman" w:cs="Times New Roman"/>
          <w:b/>
          <w:bCs/>
          <w:sz w:val="36"/>
          <w:szCs w:val="36"/>
        </w:rPr>
        <w:t>CURRENT</w:t>
      </w:r>
      <w:r w:rsidR="00794BB3" w:rsidRPr="00D247FF">
        <w:rPr>
          <w:rFonts w:ascii="Times New Roman" w:eastAsia="Times New Roman" w:hAnsi="Times New Roman" w:cs="Times New Roman"/>
          <w:b/>
          <w:bCs/>
          <w:sz w:val="36"/>
          <w:szCs w:val="36"/>
        </w:rPr>
        <w:t xml:space="preserve"> AI–COPYRIGHT LITIGATION</w:t>
      </w:r>
      <w:bookmarkEnd w:id="37"/>
    </w:p>
    <w:p w14:paraId="211EA722" w14:textId="6389E974" w:rsidR="000445EC" w:rsidRP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Artificial intelligence raises anew the most fundamental question in copyright: what constitutes protectable “expression,” and what lies beyond its reach?</w:t>
      </w:r>
      <w:r w:rsidRPr="000445EC">
        <w:rPr>
          <w:rFonts w:ascii="Times New Roman" w:eastAsia="Times New Roman" w:hAnsi="Times New Roman" w:cs="Times New Roman"/>
          <w:kern w:val="0"/>
          <w:vertAlign w:val="superscript"/>
          <w14:ligatures w14:val="none"/>
        </w:rPr>
        <w:footnoteReference w:id="135"/>
      </w:r>
      <w:r w:rsidRPr="000445EC">
        <w:rPr>
          <w:rFonts w:ascii="Times New Roman" w:eastAsia="Times New Roman" w:hAnsi="Times New Roman" w:cs="Times New Roman"/>
          <w:kern w:val="0"/>
          <w14:ligatures w14:val="none"/>
        </w:rPr>
        <w:t xml:space="preserve"> The process of training a generative AI model—ingesting, analyzing, and reproducing vast quantities of creative material—tests the limits of that distinction in ways both familiar and unprecedented. While the technology is novel, the doctrines that govern it are not. The same principles that shaped </w:t>
      </w:r>
      <w:r w:rsidRPr="000445EC">
        <w:rPr>
          <w:rFonts w:ascii="Times New Roman" w:eastAsia="Times New Roman" w:hAnsi="Times New Roman" w:cs="Times New Roman"/>
          <w:i/>
          <w:iCs/>
          <w:kern w:val="0"/>
          <w14:ligatures w14:val="none"/>
        </w:rPr>
        <w:t>Baker</w:t>
      </w:r>
      <w:r w:rsidRPr="000445EC">
        <w:rPr>
          <w:rFonts w:ascii="Times New Roman" w:eastAsia="Times New Roman" w:hAnsi="Times New Roman" w:cs="Times New Roman"/>
          <w:kern w:val="0"/>
          <w14:ligatures w14:val="none"/>
        </w:rPr>
        <w:t xml:space="preserve">, </w:t>
      </w:r>
      <w:r w:rsidRPr="000445EC">
        <w:rPr>
          <w:rFonts w:ascii="Times New Roman" w:eastAsia="Times New Roman" w:hAnsi="Times New Roman" w:cs="Times New Roman"/>
          <w:i/>
          <w:iCs/>
          <w:kern w:val="0"/>
          <w14:ligatures w14:val="none"/>
        </w:rPr>
        <w:t>Feist</w:t>
      </w:r>
      <w:r w:rsidRPr="000445EC">
        <w:rPr>
          <w:rFonts w:ascii="Times New Roman" w:eastAsia="Times New Roman" w:hAnsi="Times New Roman" w:cs="Times New Roman"/>
          <w:kern w:val="0"/>
          <w14:ligatures w14:val="none"/>
        </w:rPr>
        <w:t xml:space="preserve">, </w:t>
      </w:r>
      <w:r w:rsidRPr="000445EC">
        <w:rPr>
          <w:rFonts w:ascii="Times New Roman" w:eastAsia="Times New Roman" w:hAnsi="Times New Roman" w:cs="Times New Roman"/>
          <w:i/>
          <w:iCs/>
          <w:kern w:val="0"/>
          <w14:ligatures w14:val="none"/>
        </w:rPr>
        <w:t>Campbell</w:t>
      </w:r>
      <w:r w:rsidRPr="000445EC">
        <w:rPr>
          <w:rFonts w:ascii="Times New Roman" w:eastAsia="Times New Roman" w:hAnsi="Times New Roman" w:cs="Times New Roman"/>
          <w:kern w:val="0"/>
          <w14:ligatures w14:val="none"/>
        </w:rPr>
        <w:t xml:space="preserve"> </w:t>
      </w:r>
      <w:r w:rsidR="00794BB3">
        <w:rPr>
          <w:rFonts w:ascii="Times New Roman" w:eastAsia="Times New Roman" w:hAnsi="Times New Roman" w:cs="Times New Roman"/>
          <w:kern w:val="0"/>
          <w14:ligatures w14:val="none"/>
        </w:rPr>
        <w:t xml:space="preserve">and </w:t>
      </w:r>
      <w:r w:rsidR="00794BB3" w:rsidRPr="00794BB3">
        <w:rPr>
          <w:rFonts w:ascii="Times New Roman" w:eastAsia="Times New Roman" w:hAnsi="Times New Roman" w:cs="Times New Roman"/>
          <w:i/>
          <w:kern w:val="0"/>
          <w14:ligatures w14:val="none"/>
        </w:rPr>
        <w:t>Warhol</w:t>
      </w:r>
      <w:r w:rsidR="00794BB3">
        <w:rPr>
          <w:rFonts w:ascii="Times New Roman" w:eastAsia="Times New Roman" w:hAnsi="Times New Roman" w:cs="Times New Roman"/>
          <w:kern w:val="0"/>
          <w14:ligatures w14:val="none"/>
        </w:rPr>
        <w:t xml:space="preserve"> will </w:t>
      </w:r>
      <w:r w:rsidRPr="000445EC">
        <w:rPr>
          <w:rFonts w:ascii="Times New Roman" w:eastAsia="Times New Roman" w:hAnsi="Times New Roman" w:cs="Times New Roman"/>
          <w:kern w:val="0"/>
          <w14:ligatures w14:val="none"/>
        </w:rPr>
        <w:t xml:space="preserve">continue to </w:t>
      </w:r>
      <w:r w:rsidR="00C87436">
        <w:rPr>
          <w:rFonts w:ascii="Times New Roman" w:eastAsia="Times New Roman" w:hAnsi="Times New Roman" w:cs="Times New Roman"/>
          <w:kern w:val="0"/>
          <w14:ligatures w14:val="none"/>
        </w:rPr>
        <w:t xml:space="preserve">explain how to understand </w:t>
      </w:r>
      <w:r w:rsidRPr="000445EC">
        <w:rPr>
          <w:rFonts w:ascii="Times New Roman" w:eastAsia="Times New Roman" w:hAnsi="Times New Roman" w:cs="Times New Roman"/>
          <w:kern w:val="0"/>
          <w14:ligatures w14:val="none"/>
        </w:rPr>
        <w:t xml:space="preserve">where copyright protection begins and </w:t>
      </w:r>
      <w:r w:rsidR="007819A5">
        <w:rPr>
          <w:rFonts w:ascii="Times New Roman" w:eastAsia="Times New Roman" w:hAnsi="Times New Roman" w:cs="Times New Roman"/>
          <w:kern w:val="0"/>
          <w14:ligatures w14:val="none"/>
        </w:rPr>
        <w:t xml:space="preserve">where </w:t>
      </w:r>
      <w:r w:rsidR="00932BED">
        <w:rPr>
          <w:rFonts w:ascii="Times New Roman" w:eastAsia="Times New Roman" w:hAnsi="Times New Roman" w:cs="Times New Roman"/>
          <w:kern w:val="0"/>
          <w14:ligatures w14:val="none"/>
        </w:rPr>
        <w:t xml:space="preserve">copyright protection </w:t>
      </w:r>
      <w:r w:rsidRPr="000445EC">
        <w:rPr>
          <w:rFonts w:ascii="Times New Roman" w:eastAsia="Times New Roman" w:hAnsi="Times New Roman" w:cs="Times New Roman"/>
          <w:kern w:val="0"/>
          <w14:ligatures w14:val="none"/>
        </w:rPr>
        <w:t>ends.</w:t>
      </w:r>
    </w:p>
    <w:p w14:paraId="6D405151" w14:textId="1B0DD0F1" w:rsidR="00794BB3" w:rsidRDefault="000445EC" w:rsidP="000445E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8" w:name="_Toc220693062"/>
      <w:r w:rsidRPr="000445EC">
        <w:rPr>
          <w:rFonts w:ascii="Times New Roman" w:eastAsia="Times New Roman" w:hAnsi="Times New Roman" w:cs="Times New Roman"/>
          <w:b/>
          <w:bCs/>
          <w:kern w:val="0"/>
          <w:sz w:val="27"/>
          <w:szCs w:val="27"/>
          <w14:ligatures w14:val="none"/>
        </w:rPr>
        <w:t>A.</w:t>
      </w:r>
      <w:r w:rsidR="00794BB3">
        <w:rPr>
          <w:rFonts w:ascii="Times New Roman" w:eastAsia="Times New Roman" w:hAnsi="Times New Roman" w:cs="Times New Roman"/>
          <w:b/>
          <w:bCs/>
          <w:kern w:val="0"/>
          <w:sz w:val="27"/>
          <w:szCs w:val="27"/>
          <w14:ligatures w14:val="none"/>
        </w:rPr>
        <w:t xml:space="preserve"> The Common Issues</w:t>
      </w:r>
      <w:bookmarkEnd w:id="38"/>
    </w:p>
    <w:p w14:paraId="2FFE8943" w14:textId="7AEE83F8" w:rsidR="000445EC" w:rsidRPr="000445EC" w:rsidRDefault="000445EC" w:rsidP="00C36829">
      <w:pPr>
        <w:pStyle w:val="Heading4"/>
        <w:rPr>
          <w:rFonts w:eastAsia="Times New Roman"/>
          <w:b/>
          <w:bCs/>
          <w:kern w:val="0"/>
          <w:sz w:val="27"/>
          <w:szCs w:val="27"/>
          <w14:ligatures w14:val="none"/>
        </w:rPr>
      </w:pPr>
      <w:r w:rsidRPr="000445EC">
        <w:rPr>
          <w:rFonts w:eastAsia="Times New Roman"/>
          <w:b/>
          <w:bCs/>
          <w:kern w:val="0"/>
          <w:sz w:val="27"/>
          <w:szCs w:val="27"/>
          <w14:ligatures w14:val="none"/>
        </w:rPr>
        <w:lastRenderedPageBreak/>
        <w:t xml:space="preserve"> </w:t>
      </w:r>
      <w:bookmarkStart w:id="39" w:name="_Toc220693063"/>
      <w:r w:rsidR="00794BB3" w:rsidRPr="00794BB3">
        <w:t>1.</w:t>
      </w:r>
      <w:r w:rsidR="00794BB3">
        <w:t xml:space="preserve"> </w:t>
      </w:r>
      <w:r w:rsidRPr="00794BB3">
        <w:t>Ingestion and the Idea–Expression Dichotomy</w:t>
      </w:r>
      <w:bookmarkEnd w:id="39"/>
    </w:p>
    <w:p w14:paraId="0A2062F9" w14:textId="6A983A62" w:rsidR="005E1C3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The training of AI systems depends on exposure to immense datasets, many of which include copyrighted works.</w:t>
      </w:r>
      <w:r w:rsidRPr="000445EC">
        <w:rPr>
          <w:rFonts w:ascii="Times New Roman" w:eastAsia="Times New Roman" w:hAnsi="Times New Roman" w:cs="Times New Roman"/>
          <w:kern w:val="0"/>
          <w:vertAlign w:val="superscript"/>
          <w14:ligatures w14:val="none"/>
        </w:rPr>
        <w:footnoteReference w:id="136"/>
      </w:r>
      <w:r w:rsidRPr="000445EC">
        <w:rPr>
          <w:rFonts w:ascii="Times New Roman" w:eastAsia="Times New Roman" w:hAnsi="Times New Roman" w:cs="Times New Roman"/>
          <w:kern w:val="0"/>
          <w14:ligatures w14:val="none"/>
        </w:rPr>
        <w:t xml:space="preserve"> </w:t>
      </w:r>
      <w:r w:rsidR="00921781">
        <w:rPr>
          <w:rFonts w:ascii="Times New Roman" w:eastAsia="Times New Roman" w:hAnsi="Times New Roman" w:cs="Times New Roman"/>
          <w:kern w:val="0"/>
          <w14:ligatures w14:val="none"/>
        </w:rPr>
        <w:t>As Matthew Sag wrote, g</w:t>
      </w:r>
      <w:r w:rsidR="005E1C3C" w:rsidRPr="005E1C3C">
        <w:rPr>
          <w:rFonts w:ascii="Times New Roman" w:eastAsia="Times New Roman" w:hAnsi="Times New Roman" w:cs="Times New Roman"/>
          <w:kern w:val="0"/>
          <w14:ligatures w14:val="none"/>
        </w:rPr>
        <w:t xml:space="preserve">enerative AI models </w:t>
      </w:r>
    </w:p>
    <w:p w14:paraId="491F0528" w14:textId="46159E5B" w:rsidR="005E1C3C" w:rsidRDefault="005E1C3C" w:rsidP="005E1C3C">
      <w:pPr>
        <w:spacing w:before="100" w:beforeAutospacing="1" w:after="100" w:afterAutospacing="1" w:line="240" w:lineRule="auto"/>
        <w:ind w:left="720"/>
        <w:rPr>
          <w:rFonts w:ascii="Times New Roman" w:eastAsia="Times New Roman" w:hAnsi="Times New Roman" w:cs="Times New Roman"/>
          <w:kern w:val="0"/>
          <w14:ligatures w14:val="none"/>
        </w:rPr>
      </w:pPr>
      <w:r w:rsidRPr="005E1C3C">
        <w:rPr>
          <w:rFonts w:ascii="Times New Roman" w:eastAsia="Times New Roman" w:hAnsi="Times New Roman" w:cs="Times New Roman"/>
          <w:kern w:val="0"/>
          <w14:ligatures w14:val="none"/>
        </w:rPr>
        <w:t>are not designed to copy original expression. By and large, the only copying that occurs is when the training corpus is assembled and preprocessed. Gathering and preprocessing the training data usually involves copying, but the training process through which the model ‘learns’ from the data is not copying in any legally cognizable sense.</w:t>
      </w:r>
      <w:r>
        <w:rPr>
          <w:rStyle w:val="FootnoteReference"/>
          <w:rFonts w:ascii="Times New Roman" w:eastAsia="Times New Roman" w:hAnsi="Times New Roman" w:cs="Times New Roman"/>
          <w:kern w:val="0"/>
          <w14:ligatures w14:val="none"/>
        </w:rPr>
        <w:footnoteReference w:id="137"/>
      </w:r>
      <w:r w:rsidRPr="005E1C3C">
        <w:rPr>
          <w:rFonts w:ascii="Times New Roman" w:eastAsia="Times New Roman" w:hAnsi="Times New Roman" w:cs="Times New Roman"/>
          <w:kern w:val="0"/>
          <w14:ligatures w14:val="none"/>
        </w:rPr>
        <w:t xml:space="preserve"> </w:t>
      </w:r>
    </w:p>
    <w:p w14:paraId="52E494DF" w14:textId="63BF9E0B" w:rsidR="000445EC" w:rsidRP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This has led to a growing debate: does the ingestion of such works constitute infringement, or is it merely the functional use of ideas, styles, and facts—elements that copyright law has long left unprotected?</w:t>
      </w:r>
      <w:r w:rsidRPr="000445EC">
        <w:rPr>
          <w:rFonts w:ascii="Times New Roman" w:eastAsia="Times New Roman" w:hAnsi="Times New Roman" w:cs="Times New Roman"/>
          <w:kern w:val="0"/>
          <w:vertAlign w:val="superscript"/>
          <w14:ligatures w14:val="none"/>
        </w:rPr>
        <w:footnoteReference w:id="138"/>
      </w:r>
      <w:r w:rsidRPr="000445EC">
        <w:rPr>
          <w:rFonts w:ascii="Times New Roman" w:eastAsia="Times New Roman" w:hAnsi="Times New Roman" w:cs="Times New Roman"/>
          <w:kern w:val="0"/>
          <w14:ligatures w14:val="none"/>
        </w:rPr>
        <w:t xml:space="preserve"> From </w:t>
      </w:r>
      <w:r w:rsidRPr="000445EC">
        <w:rPr>
          <w:rFonts w:ascii="Times New Roman" w:eastAsia="Times New Roman" w:hAnsi="Times New Roman" w:cs="Times New Roman"/>
          <w:i/>
          <w:iCs/>
          <w:kern w:val="0"/>
          <w14:ligatures w14:val="none"/>
        </w:rPr>
        <w:t xml:space="preserve">Baker </w:t>
      </w:r>
      <w:r w:rsidRPr="000445EC">
        <w:rPr>
          <w:rFonts w:ascii="Times New Roman" w:eastAsia="Times New Roman" w:hAnsi="Times New Roman" w:cs="Times New Roman"/>
          <w:kern w:val="0"/>
          <w14:ligatures w14:val="none"/>
        </w:rPr>
        <w:t>onward, courts have held that copyright does not prevent others from learning from or using the methods, systems, or facts embedded in a work.</w:t>
      </w:r>
      <w:r w:rsidRPr="000445EC">
        <w:rPr>
          <w:rFonts w:ascii="Times New Roman" w:eastAsia="Times New Roman" w:hAnsi="Times New Roman" w:cs="Times New Roman"/>
          <w:kern w:val="0"/>
          <w:vertAlign w:val="superscript"/>
          <w14:ligatures w14:val="none"/>
        </w:rPr>
        <w:footnoteReference w:id="139"/>
      </w:r>
      <w:r w:rsidRPr="000445EC">
        <w:rPr>
          <w:rFonts w:ascii="Times New Roman" w:eastAsia="Times New Roman" w:hAnsi="Times New Roman" w:cs="Times New Roman"/>
          <w:kern w:val="0"/>
          <w14:ligatures w14:val="none"/>
        </w:rPr>
        <w:t xml:space="preserve"> The same reasoning suggests that training a model on existing works, without reproducing or distributing their expressive elements, may fall outside copyright’s reach.</w:t>
      </w:r>
      <w:r w:rsidRPr="000445EC">
        <w:rPr>
          <w:rFonts w:ascii="Times New Roman" w:eastAsia="Times New Roman" w:hAnsi="Times New Roman" w:cs="Times New Roman"/>
          <w:kern w:val="0"/>
          <w:vertAlign w:val="superscript"/>
          <w14:ligatures w14:val="none"/>
        </w:rPr>
        <w:footnoteReference w:id="140"/>
      </w:r>
    </w:p>
    <w:p w14:paraId="26301E6F" w14:textId="1FCF7F51" w:rsidR="000445EC" w:rsidRP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 xml:space="preserve">That does not mean </w:t>
      </w:r>
      <w:r w:rsidR="0051155F">
        <w:rPr>
          <w:rFonts w:ascii="Times New Roman" w:eastAsia="Times New Roman" w:hAnsi="Times New Roman" w:cs="Times New Roman"/>
          <w:kern w:val="0"/>
          <w14:ligatures w14:val="none"/>
        </w:rPr>
        <w:t xml:space="preserve">that </w:t>
      </w:r>
      <w:r w:rsidRPr="000445EC">
        <w:rPr>
          <w:rFonts w:ascii="Times New Roman" w:eastAsia="Times New Roman" w:hAnsi="Times New Roman" w:cs="Times New Roman"/>
          <w:kern w:val="0"/>
          <w14:ligatures w14:val="none"/>
        </w:rPr>
        <w:t>the use is uncontroversial. Unlike human readers who internalize and reinterpret what they learn, AI systems store and process creative works at massive scale.</w:t>
      </w:r>
      <w:r w:rsidRPr="000445EC">
        <w:rPr>
          <w:rFonts w:ascii="Times New Roman" w:eastAsia="Times New Roman" w:hAnsi="Times New Roman" w:cs="Times New Roman"/>
          <w:kern w:val="0"/>
          <w:vertAlign w:val="superscript"/>
          <w14:ligatures w14:val="none"/>
        </w:rPr>
        <w:footnoteReference w:id="141"/>
      </w:r>
      <w:r w:rsidRPr="000445EC">
        <w:rPr>
          <w:rFonts w:ascii="Times New Roman" w:eastAsia="Times New Roman" w:hAnsi="Times New Roman" w:cs="Times New Roman"/>
          <w:kern w:val="0"/>
          <w14:ligatures w14:val="none"/>
        </w:rPr>
        <w:t xml:space="preserve"> Yet, functionally, the act remains analytical rather than expressive—a process of pattern recognition akin to human study. The distinction between expression and idea thus remains central. If AI training involves no fixation of expressive content, the act may resemble the unprotectable extraction of knowledge, </w:t>
      </w:r>
      <w:r w:rsidR="00932BED">
        <w:rPr>
          <w:rFonts w:ascii="Times New Roman" w:eastAsia="Times New Roman" w:hAnsi="Times New Roman" w:cs="Times New Roman"/>
          <w:kern w:val="0"/>
          <w14:ligatures w14:val="none"/>
        </w:rPr>
        <w:t xml:space="preserve">rather than the </w:t>
      </w:r>
      <w:r w:rsidRPr="000445EC">
        <w:rPr>
          <w:rFonts w:ascii="Times New Roman" w:eastAsia="Times New Roman" w:hAnsi="Times New Roman" w:cs="Times New Roman"/>
          <w:kern w:val="0"/>
          <w14:ligatures w14:val="none"/>
        </w:rPr>
        <w:t>copying of art.</w:t>
      </w:r>
      <w:r w:rsidRPr="000445EC">
        <w:rPr>
          <w:rFonts w:ascii="Times New Roman" w:eastAsia="Times New Roman" w:hAnsi="Times New Roman" w:cs="Times New Roman"/>
          <w:kern w:val="0"/>
          <w:vertAlign w:val="superscript"/>
          <w14:ligatures w14:val="none"/>
        </w:rPr>
        <w:footnoteReference w:id="142"/>
      </w:r>
    </w:p>
    <w:p w14:paraId="4F756B76" w14:textId="0C37801A" w:rsidR="009A4719" w:rsidRPr="00794BB3" w:rsidRDefault="00794BB3" w:rsidP="00C36829">
      <w:pPr>
        <w:pStyle w:val="Heading4"/>
      </w:pPr>
      <w:bookmarkStart w:id="40" w:name="_Toc220693064"/>
      <w:r>
        <w:t>2</w:t>
      </w:r>
      <w:r w:rsidR="009A4719" w:rsidRPr="00794BB3">
        <w:t>. Fair Use and the Transformative Inquiry</w:t>
      </w:r>
      <w:bookmarkEnd w:id="40"/>
    </w:p>
    <w:p w14:paraId="66A87AA9" w14:textId="15FDDDBA" w:rsidR="009A4719" w:rsidRPr="000445EC" w:rsidRDefault="009A4719" w:rsidP="009A4719">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 xml:space="preserve">Even if AI training involves copying expressive works, the doctrine of fair use provides another analytical layer. </w:t>
      </w:r>
      <w:r w:rsidRPr="000445EC">
        <w:rPr>
          <w:rFonts w:ascii="Times New Roman" w:eastAsia="Times New Roman" w:hAnsi="Times New Roman" w:cs="Times New Roman"/>
          <w:i/>
          <w:iCs/>
          <w:kern w:val="0"/>
          <w14:ligatures w14:val="none"/>
        </w:rPr>
        <w:t>Campbell</w:t>
      </w:r>
      <w:r w:rsidRPr="000445EC">
        <w:rPr>
          <w:rFonts w:ascii="Times New Roman" w:eastAsia="Times New Roman" w:hAnsi="Times New Roman" w:cs="Times New Roman"/>
          <w:kern w:val="0"/>
          <w14:ligatures w14:val="none"/>
        </w:rPr>
        <w:t xml:space="preserve"> reframed fair use around the concept of transformation—whether a new work adds something new, with a further purpose or different character</w:t>
      </w:r>
      <w:r w:rsidR="007819A5">
        <w:rPr>
          <w:rFonts w:ascii="Times New Roman" w:eastAsia="Times New Roman" w:hAnsi="Times New Roman" w:cs="Times New Roman"/>
          <w:kern w:val="0"/>
          <w14:ligatures w14:val="none"/>
        </w:rPr>
        <w:t>.</w:t>
      </w:r>
      <w:r w:rsidRPr="000445EC">
        <w:rPr>
          <w:rFonts w:ascii="Times New Roman" w:eastAsia="Times New Roman" w:hAnsi="Times New Roman" w:cs="Times New Roman"/>
          <w:kern w:val="0"/>
          <w:vertAlign w:val="superscript"/>
          <w14:ligatures w14:val="none"/>
        </w:rPr>
        <w:footnoteReference w:id="143"/>
      </w:r>
      <w:r w:rsidRPr="000445EC">
        <w:rPr>
          <w:rFonts w:ascii="Times New Roman" w:eastAsia="Times New Roman" w:hAnsi="Times New Roman" w:cs="Times New Roman"/>
          <w:kern w:val="0"/>
          <w14:ligatures w14:val="none"/>
        </w:rPr>
        <w:t xml:space="preserve"> Courts have applied this reasoning to functional, non-expressive uses of copyrighted works, such as search indexing and data analysis. In</w:t>
      </w:r>
      <w:r>
        <w:rPr>
          <w:rFonts w:ascii="Times New Roman" w:eastAsia="Times New Roman" w:hAnsi="Times New Roman" w:cs="Times New Roman"/>
          <w:kern w:val="0"/>
          <w14:ligatures w14:val="none"/>
        </w:rPr>
        <w:t xml:space="preserve"> </w:t>
      </w:r>
      <w:r>
        <w:rPr>
          <w:rFonts w:ascii="Times New Roman" w:eastAsia="Times New Roman" w:hAnsi="Times New Roman" w:cs="Times New Roman"/>
          <w:i/>
          <w:iCs/>
          <w:kern w:val="0"/>
          <w14:ligatures w14:val="none"/>
        </w:rPr>
        <w:t>Google Books</w:t>
      </w:r>
      <w:r w:rsidRPr="000445EC">
        <w:rPr>
          <w:rFonts w:ascii="Times New Roman" w:eastAsia="Times New Roman" w:hAnsi="Times New Roman" w:cs="Times New Roman"/>
          <w:i/>
          <w:iCs/>
          <w:kern w:val="0"/>
          <w14:ligatures w14:val="none"/>
        </w:rPr>
        <w:t xml:space="preserve">, </w:t>
      </w:r>
      <w:r w:rsidRPr="000445EC">
        <w:rPr>
          <w:rFonts w:ascii="Times New Roman" w:eastAsia="Times New Roman" w:hAnsi="Times New Roman" w:cs="Times New Roman"/>
          <w:kern w:val="0"/>
          <w14:ligatures w14:val="none"/>
        </w:rPr>
        <w:t>the Second Circuit found that copying entire books for search indexing was fair because the purpose was informational rather than expressive.</w:t>
      </w:r>
      <w:r w:rsidRPr="000445EC">
        <w:rPr>
          <w:rFonts w:ascii="Times New Roman" w:eastAsia="Times New Roman" w:hAnsi="Times New Roman" w:cs="Times New Roman"/>
          <w:kern w:val="0"/>
          <w:vertAlign w:val="superscript"/>
          <w14:ligatures w14:val="none"/>
        </w:rPr>
        <w:footnoteReference w:id="144"/>
      </w:r>
      <w:r w:rsidRPr="000445EC">
        <w:rPr>
          <w:rFonts w:ascii="Times New Roman" w:eastAsia="Times New Roman" w:hAnsi="Times New Roman" w:cs="Times New Roman"/>
          <w:kern w:val="0"/>
          <w14:ligatures w14:val="none"/>
        </w:rPr>
        <w:t xml:space="preserve"> </w:t>
      </w:r>
      <w:r w:rsidRPr="000445EC">
        <w:rPr>
          <w:rFonts w:ascii="Times New Roman" w:eastAsia="Times New Roman" w:hAnsi="Times New Roman" w:cs="Times New Roman"/>
          <w:kern w:val="0"/>
          <w14:ligatures w14:val="none"/>
        </w:rPr>
        <w:lastRenderedPageBreak/>
        <w:t xml:space="preserve">Related decisions—such as </w:t>
      </w:r>
      <w:r w:rsidRPr="000445EC">
        <w:rPr>
          <w:rFonts w:ascii="Times New Roman" w:eastAsia="Times New Roman" w:hAnsi="Times New Roman" w:cs="Times New Roman"/>
          <w:i/>
          <w:iCs/>
          <w:kern w:val="0"/>
          <w14:ligatures w14:val="none"/>
        </w:rPr>
        <w:t>Kelly v. Arriba Soft Corp.</w:t>
      </w:r>
      <w:r w:rsidRPr="000445EC">
        <w:rPr>
          <w:rFonts w:ascii="Times New Roman" w:eastAsia="Times New Roman" w:hAnsi="Times New Roman" w:cs="Times New Roman"/>
          <w:kern w:val="0"/>
          <w14:ligatures w14:val="none"/>
        </w:rPr>
        <w:t xml:space="preserve"> (thumbnails)</w:t>
      </w:r>
      <w:r>
        <w:rPr>
          <w:rStyle w:val="FootnoteReference"/>
          <w:rFonts w:ascii="Times New Roman" w:eastAsia="Times New Roman" w:hAnsi="Times New Roman" w:cs="Times New Roman"/>
          <w:kern w:val="0"/>
          <w14:ligatures w14:val="none"/>
        </w:rPr>
        <w:footnoteReference w:id="145"/>
      </w:r>
      <w:r w:rsidRPr="000445EC">
        <w:rPr>
          <w:rFonts w:ascii="Times New Roman" w:eastAsia="Times New Roman" w:hAnsi="Times New Roman" w:cs="Times New Roman"/>
          <w:kern w:val="0"/>
          <w14:ligatures w14:val="none"/>
        </w:rPr>
        <w:t xml:space="preserve"> and </w:t>
      </w:r>
      <w:r w:rsidRPr="000445EC">
        <w:rPr>
          <w:rFonts w:ascii="Times New Roman" w:eastAsia="Times New Roman" w:hAnsi="Times New Roman" w:cs="Times New Roman"/>
          <w:i/>
          <w:iCs/>
          <w:kern w:val="0"/>
          <w14:ligatures w14:val="none"/>
        </w:rPr>
        <w:t>Perfect 10, Inc. v. Amazon.com, Inc.</w:t>
      </w:r>
      <w:r w:rsidRPr="000445EC">
        <w:rPr>
          <w:rFonts w:ascii="Times New Roman" w:eastAsia="Times New Roman" w:hAnsi="Times New Roman" w:cs="Times New Roman"/>
          <w:kern w:val="0"/>
          <w14:ligatures w14:val="none"/>
        </w:rPr>
        <w:t xml:space="preserve"> (image search)</w:t>
      </w:r>
      <w:r w:rsidRPr="00F9262A">
        <w:rPr>
          <w:rFonts w:ascii="Times New Roman" w:eastAsia="Times New Roman" w:hAnsi="Times New Roman" w:cs="Times New Roman"/>
          <w:kern w:val="0"/>
          <w:vertAlign w:val="superscript"/>
          <w14:ligatures w14:val="none"/>
        </w:rPr>
        <w:t xml:space="preserve"> </w:t>
      </w:r>
      <w:r w:rsidRPr="000445EC">
        <w:rPr>
          <w:rFonts w:ascii="Times New Roman" w:eastAsia="Times New Roman" w:hAnsi="Times New Roman" w:cs="Times New Roman"/>
          <w:kern w:val="0"/>
          <w:vertAlign w:val="superscript"/>
          <w14:ligatures w14:val="none"/>
        </w:rPr>
        <w:footnoteReference w:id="146"/>
      </w:r>
      <w:r w:rsidRPr="000445EC">
        <w:rPr>
          <w:rFonts w:ascii="Times New Roman" w:eastAsia="Times New Roman" w:hAnsi="Times New Roman" w:cs="Times New Roman"/>
          <w:kern w:val="0"/>
          <w14:ligatures w14:val="none"/>
        </w:rPr>
        <w:t>—reflect the same logic for non-expressive, technological uses.</w:t>
      </w:r>
    </w:p>
    <w:p w14:paraId="6B5F79DF" w14:textId="3CFA78EA" w:rsidR="002C1BBC" w:rsidRDefault="009A4719" w:rsidP="002C1BB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 xml:space="preserve">AI training may </w:t>
      </w:r>
      <w:r w:rsidR="002C1BBC">
        <w:rPr>
          <w:rFonts w:ascii="Times New Roman" w:eastAsia="Times New Roman" w:hAnsi="Times New Roman" w:cs="Times New Roman"/>
          <w:kern w:val="0"/>
          <w14:ligatures w14:val="none"/>
        </w:rPr>
        <w:t xml:space="preserve">very well </w:t>
      </w:r>
      <w:r w:rsidRPr="000445EC">
        <w:rPr>
          <w:rFonts w:ascii="Times New Roman" w:eastAsia="Times New Roman" w:hAnsi="Times New Roman" w:cs="Times New Roman"/>
          <w:kern w:val="0"/>
          <w14:ligatures w14:val="none"/>
        </w:rPr>
        <w:t>fit within this rationale. The purpose of ingesting creative works is not to re-express them but to enable the system to recognize relationships and structures that allow new outputs to emerge.</w:t>
      </w:r>
      <w:r w:rsidRPr="000445EC">
        <w:rPr>
          <w:rFonts w:ascii="Times New Roman" w:eastAsia="Times New Roman" w:hAnsi="Times New Roman" w:cs="Times New Roman"/>
          <w:kern w:val="0"/>
          <w:vertAlign w:val="superscript"/>
          <w14:ligatures w14:val="none"/>
        </w:rPr>
        <w:footnoteReference w:id="147"/>
      </w:r>
      <w:r w:rsidRPr="000445EC">
        <w:rPr>
          <w:rFonts w:ascii="Times New Roman" w:eastAsia="Times New Roman" w:hAnsi="Times New Roman" w:cs="Times New Roman"/>
          <w:kern w:val="0"/>
          <w14:ligatures w14:val="none"/>
        </w:rPr>
        <w:t xml:space="preserve"> </w:t>
      </w:r>
      <w:r w:rsidR="00921781">
        <w:rPr>
          <w:rFonts w:ascii="Times New Roman" w:eastAsia="Times New Roman" w:hAnsi="Times New Roman" w:cs="Times New Roman"/>
          <w:kern w:val="0"/>
          <w14:ligatures w14:val="none"/>
        </w:rPr>
        <w:t>As Mark Lemley and Bryan Casey explained</w:t>
      </w:r>
    </w:p>
    <w:p w14:paraId="51803823" w14:textId="6DF6CFFA" w:rsidR="002C1BBC" w:rsidRDefault="002C1BBC" w:rsidP="002C1BBC">
      <w:pPr>
        <w:spacing w:before="100" w:beforeAutospacing="1" w:after="100" w:afterAutospacing="1"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Pr="002C1BBC">
        <w:rPr>
          <w:rFonts w:ascii="Times New Roman" w:eastAsia="Times New Roman" w:hAnsi="Times New Roman" w:cs="Times New Roman"/>
          <w:kern w:val="0"/>
          <w14:ligatures w14:val="none"/>
        </w:rPr>
        <w:t>erhaps the strongest argument for fair use is one that lies at the heart of copyright theory but doesn't actually show</w:t>
      </w:r>
      <w:r>
        <w:rPr>
          <w:rFonts w:ascii="Times New Roman" w:eastAsia="Times New Roman" w:hAnsi="Times New Roman" w:cs="Times New Roman"/>
          <w:kern w:val="0"/>
          <w14:ligatures w14:val="none"/>
        </w:rPr>
        <w:t xml:space="preserve"> </w:t>
      </w:r>
      <w:r w:rsidRPr="002C1BBC">
        <w:rPr>
          <w:rFonts w:ascii="Times New Roman" w:eastAsia="Times New Roman" w:hAnsi="Times New Roman" w:cs="Times New Roman"/>
          <w:kern w:val="0"/>
          <w14:ligatures w14:val="none"/>
        </w:rPr>
        <w:t xml:space="preserve">up explicitly in the case law: Like TDM </w:t>
      </w:r>
      <w:r w:rsidR="00F262D3">
        <w:rPr>
          <w:rFonts w:ascii="Times New Roman" w:eastAsia="Times New Roman" w:hAnsi="Times New Roman" w:cs="Times New Roman"/>
          <w:kern w:val="0"/>
          <w14:ligatures w14:val="none"/>
        </w:rPr>
        <w:t xml:space="preserve">[text data mining] </w:t>
      </w:r>
      <w:r w:rsidRPr="002C1BBC">
        <w:rPr>
          <w:rFonts w:ascii="Times New Roman" w:eastAsia="Times New Roman" w:hAnsi="Times New Roman" w:cs="Times New Roman"/>
          <w:kern w:val="0"/>
          <w14:ligatures w14:val="none"/>
        </w:rPr>
        <w:t xml:space="preserve">technologies, </w:t>
      </w:r>
      <w:r w:rsidR="00F262D3" w:rsidRPr="002C1BBC">
        <w:rPr>
          <w:rFonts w:ascii="Times New Roman" w:eastAsia="Times New Roman" w:hAnsi="Times New Roman" w:cs="Times New Roman"/>
          <w:kern w:val="0"/>
          <w14:ligatures w14:val="none"/>
        </w:rPr>
        <w:t>ML</w:t>
      </w:r>
      <w:r w:rsidR="00F262D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[machine learning] </w:t>
      </w:r>
      <w:r w:rsidRPr="002C1BBC">
        <w:rPr>
          <w:rFonts w:ascii="Times New Roman" w:eastAsia="Times New Roman" w:hAnsi="Times New Roman" w:cs="Times New Roman"/>
          <w:kern w:val="0"/>
          <w14:ligatures w14:val="none"/>
        </w:rPr>
        <w:t>systems generally don't want to copy the copyrighted work for any</w:t>
      </w:r>
      <w:r>
        <w:rPr>
          <w:rFonts w:ascii="Times New Roman" w:eastAsia="Times New Roman" w:hAnsi="Times New Roman" w:cs="Times New Roman"/>
          <w:kern w:val="0"/>
          <w14:ligatures w14:val="none"/>
        </w:rPr>
        <w:t xml:space="preserve"> </w:t>
      </w:r>
      <w:r w:rsidRPr="002C1BBC">
        <w:rPr>
          <w:rFonts w:ascii="Times New Roman" w:eastAsia="Times New Roman" w:hAnsi="Times New Roman" w:cs="Times New Roman"/>
          <w:kern w:val="0"/>
          <w14:ligatures w14:val="none"/>
        </w:rPr>
        <w:t>copyright-related reason. ML systems generally copy works, not to get access to their creative expression (the part of the work</w:t>
      </w:r>
      <w:r>
        <w:rPr>
          <w:rFonts w:ascii="Times New Roman" w:eastAsia="Times New Roman" w:hAnsi="Times New Roman" w:cs="Times New Roman"/>
          <w:kern w:val="0"/>
          <w14:ligatures w14:val="none"/>
        </w:rPr>
        <w:t xml:space="preserve"> </w:t>
      </w:r>
      <w:r w:rsidRPr="002C1BBC">
        <w:rPr>
          <w:rFonts w:ascii="Times New Roman" w:eastAsia="Times New Roman" w:hAnsi="Times New Roman" w:cs="Times New Roman"/>
          <w:kern w:val="0"/>
          <w14:ligatures w14:val="none"/>
        </w:rPr>
        <w:t>the law protects), but to get access to the uncopyrightable parts of the work--the ideas, facts, and linguistic structure of the</w:t>
      </w:r>
      <w:r>
        <w:rPr>
          <w:rFonts w:ascii="Times New Roman" w:eastAsia="Times New Roman" w:hAnsi="Times New Roman" w:cs="Times New Roman"/>
          <w:kern w:val="0"/>
          <w14:ligatures w14:val="none"/>
        </w:rPr>
        <w:t xml:space="preserve"> </w:t>
      </w:r>
      <w:r w:rsidRPr="002C1BBC">
        <w:rPr>
          <w:rFonts w:ascii="Times New Roman" w:eastAsia="Times New Roman" w:hAnsi="Times New Roman" w:cs="Times New Roman"/>
          <w:kern w:val="0"/>
          <w14:ligatures w14:val="none"/>
        </w:rPr>
        <w:t>works</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148"/>
      </w:r>
      <w:r>
        <w:rPr>
          <w:rFonts w:ascii="Times New Roman" w:eastAsia="Times New Roman" w:hAnsi="Times New Roman" w:cs="Times New Roman"/>
          <w:kern w:val="0"/>
          <w14:ligatures w14:val="none"/>
        </w:rPr>
        <w:t xml:space="preserve"> </w:t>
      </w:r>
    </w:p>
    <w:p w14:paraId="16273E67" w14:textId="0AD2D03F" w:rsidR="00F262D3" w:rsidRDefault="00F262D3" w:rsidP="00F262D3">
      <w:pPr>
        <w:spacing w:before="100" w:beforeAutospacing="1" w:after="100" w:afterAutospacing="1" w:line="240" w:lineRule="auto"/>
        <w:ind w:left="720"/>
        <w:rPr>
          <w:rFonts w:ascii="Times New Roman" w:eastAsia="Times New Roman" w:hAnsi="Times New Roman" w:cs="Times New Roman"/>
          <w:kern w:val="0"/>
          <w14:ligatures w14:val="none"/>
        </w:rPr>
      </w:pPr>
      <w:r w:rsidRPr="00F262D3">
        <w:rPr>
          <w:rFonts w:ascii="Times New Roman" w:eastAsia="Times New Roman" w:hAnsi="Times New Roman" w:cs="Times New Roman"/>
          <w:kern w:val="0"/>
          <w14:ligatures w14:val="none"/>
        </w:rPr>
        <w:t>AI training data should incorporate a principle we call “fair learning.” If the purpose of the AI's use is not to obtain or</w:t>
      </w:r>
      <w:r>
        <w:rPr>
          <w:rFonts w:ascii="Times New Roman" w:eastAsia="Times New Roman" w:hAnsi="Times New Roman" w:cs="Times New Roman"/>
          <w:kern w:val="0"/>
          <w14:ligatures w14:val="none"/>
        </w:rPr>
        <w:t xml:space="preserve"> </w:t>
      </w:r>
      <w:r w:rsidRPr="00F262D3">
        <w:rPr>
          <w:rFonts w:ascii="Times New Roman" w:eastAsia="Times New Roman" w:hAnsi="Times New Roman" w:cs="Times New Roman"/>
          <w:kern w:val="0"/>
          <w14:ligatures w14:val="none"/>
        </w:rPr>
        <w:t>incorporate the copyrightable elements of a work but to access, learn, and use the unprotectable parts of the work, that use</w:t>
      </w:r>
      <w:r>
        <w:rPr>
          <w:rFonts w:ascii="Times New Roman" w:eastAsia="Times New Roman" w:hAnsi="Times New Roman" w:cs="Times New Roman"/>
          <w:kern w:val="0"/>
          <w14:ligatures w14:val="none"/>
        </w:rPr>
        <w:t xml:space="preserve"> </w:t>
      </w:r>
      <w:r w:rsidRPr="00F262D3">
        <w:rPr>
          <w:rFonts w:ascii="Times New Roman" w:eastAsia="Times New Roman" w:hAnsi="Times New Roman" w:cs="Times New Roman"/>
          <w:kern w:val="0"/>
          <w14:ligatures w14:val="none"/>
        </w:rPr>
        <w:t xml:space="preserve">should be </w:t>
      </w:r>
      <w:r>
        <w:rPr>
          <w:rFonts w:ascii="Times New Roman" w:eastAsia="Times New Roman" w:hAnsi="Times New Roman" w:cs="Times New Roman"/>
          <w:kern w:val="0"/>
          <w14:ligatures w14:val="none"/>
        </w:rPr>
        <w:t>p</w:t>
      </w:r>
      <w:r w:rsidRPr="00F262D3">
        <w:rPr>
          <w:rFonts w:ascii="Times New Roman" w:eastAsia="Times New Roman" w:hAnsi="Times New Roman" w:cs="Times New Roman"/>
          <w:kern w:val="0"/>
          <w14:ligatures w14:val="none"/>
        </w:rPr>
        <w:t>resumptively fair under the first fair use factor (the purpose of the use).</w:t>
      </w:r>
      <w:r>
        <w:rPr>
          <w:rStyle w:val="FootnoteReference"/>
          <w:rFonts w:ascii="Times New Roman" w:eastAsia="Times New Roman" w:hAnsi="Times New Roman" w:cs="Times New Roman"/>
          <w:kern w:val="0"/>
          <w14:ligatures w14:val="none"/>
        </w:rPr>
        <w:footnoteReference w:id="149"/>
      </w:r>
    </w:p>
    <w:p w14:paraId="68769BB4" w14:textId="22424F2A" w:rsidR="009A4719" w:rsidRPr="000445EC" w:rsidRDefault="007819A5" w:rsidP="002C1BB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addition, </w:t>
      </w:r>
      <w:r w:rsidRPr="007819A5">
        <w:rPr>
          <w:rFonts w:ascii="Times New Roman" w:eastAsia="Times New Roman" w:hAnsi="Times New Roman" w:cs="Times New Roman"/>
          <w:i/>
          <w:kern w:val="0"/>
          <w14:ligatures w14:val="none"/>
        </w:rPr>
        <w:t>Warhol</w:t>
      </w:r>
      <w:r>
        <w:rPr>
          <w:rFonts w:ascii="Times New Roman" w:eastAsia="Times New Roman" w:hAnsi="Times New Roman" w:cs="Times New Roman"/>
          <w:kern w:val="0"/>
          <w14:ligatures w14:val="none"/>
        </w:rPr>
        <w:t xml:space="preserve"> dictates, </w:t>
      </w:r>
      <w:r w:rsidR="00F0557B">
        <w:rPr>
          <w:rFonts w:ascii="Times New Roman" w:eastAsia="Times New Roman" w:hAnsi="Times New Roman" w:cs="Times New Roman"/>
          <w:kern w:val="0"/>
          <w14:ligatures w14:val="none"/>
        </w:rPr>
        <w:t xml:space="preserve">that </w:t>
      </w:r>
      <w:r>
        <w:rPr>
          <w:rFonts w:ascii="Times New Roman" w:eastAsia="Times New Roman" w:hAnsi="Times New Roman" w:cs="Times New Roman"/>
          <w:kern w:val="0"/>
          <w14:ligatures w14:val="none"/>
        </w:rPr>
        <w:t>attention must be paid as to whether</w:t>
      </w:r>
      <w:r w:rsidR="00F0557B">
        <w:rPr>
          <w:rFonts w:ascii="Times New Roman" w:eastAsia="Times New Roman" w:hAnsi="Times New Roman" w:cs="Times New Roman"/>
          <w:kern w:val="0"/>
          <w14:ligatures w14:val="none"/>
        </w:rPr>
        <w:t xml:space="preserve">, and if so, how much, </w:t>
      </w:r>
      <w:r>
        <w:rPr>
          <w:rFonts w:ascii="Times New Roman" w:eastAsia="Times New Roman" w:hAnsi="Times New Roman" w:cs="Times New Roman"/>
          <w:kern w:val="0"/>
          <w14:ligatures w14:val="none"/>
        </w:rPr>
        <w:t xml:space="preserve">the </w:t>
      </w:r>
      <w:r w:rsidR="00F0557B">
        <w:rPr>
          <w:rFonts w:ascii="Times New Roman" w:eastAsia="Times New Roman" w:hAnsi="Times New Roman" w:cs="Times New Roman"/>
          <w:kern w:val="0"/>
          <w14:ligatures w14:val="none"/>
        </w:rPr>
        <w:t xml:space="preserve">output effects the market for the originals. </w:t>
      </w:r>
      <w:r w:rsidR="009A4719" w:rsidRPr="00AA5F14">
        <w:rPr>
          <w:rFonts w:ascii="Times New Roman" w:eastAsia="Times New Roman" w:hAnsi="Times New Roman" w:cs="Times New Roman"/>
          <w:i/>
          <w:kern w:val="0"/>
          <w14:ligatures w14:val="none"/>
        </w:rPr>
        <w:t xml:space="preserve">Copyright </w:t>
      </w:r>
      <w:r w:rsidR="00F0557B">
        <w:rPr>
          <w:rFonts w:ascii="Times New Roman" w:eastAsia="Times New Roman" w:hAnsi="Times New Roman" w:cs="Times New Roman"/>
          <w:i/>
          <w:kern w:val="0"/>
          <w14:ligatures w14:val="none"/>
        </w:rPr>
        <w:t xml:space="preserve">Office: </w:t>
      </w:r>
      <w:r w:rsidR="009A4719" w:rsidRPr="000445EC">
        <w:rPr>
          <w:rFonts w:ascii="Times New Roman" w:eastAsia="Times New Roman" w:hAnsi="Times New Roman" w:cs="Times New Roman"/>
          <w:i/>
          <w:iCs/>
          <w:kern w:val="0"/>
          <w14:ligatures w14:val="none"/>
        </w:rPr>
        <w:t xml:space="preserve">Part </w:t>
      </w:r>
      <w:r w:rsidR="00874A8C">
        <w:rPr>
          <w:rFonts w:ascii="Times New Roman" w:eastAsia="Times New Roman" w:hAnsi="Times New Roman" w:cs="Times New Roman"/>
          <w:i/>
          <w:iCs/>
          <w:kern w:val="0"/>
          <w14:ligatures w14:val="none"/>
        </w:rPr>
        <w:t>3</w:t>
      </w:r>
      <w:r w:rsidR="009A4719" w:rsidRPr="000445EC">
        <w:rPr>
          <w:rFonts w:ascii="Times New Roman" w:eastAsia="Times New Roman" w:hAnsi="Times New Roman" w:cs="Times New Roman"/>
          <w:kern w:val="0"/>
          <w14:ligatures w14:val="none"/>
        </w:rPr>
        <w:t xml:space="preserve"> acknowledges this tension, identifying the use of copyrighted works in training and the potential market effects as among the most pressing questions for future adjudication.</w:t>
      </w:r>
      <w:r w:rsidR="009A4719" w:rsidRPr="000445EC">
        <w:rPr>
          <w:rFonts w:ascii="Times New Roman" w:eastAsia="Times New Roman" w:hAnsi="Times New Roman" w:cs="Times New Roman"/>
          <w:kern w:val="0"/>
          <w:vertAlign w:val="superscript"/>
          <w14:ligatures w14:val="none"/>
        </w:rPr>
        <w:footnoteReference w:id="150"/>
      </w:r>
    </w:p>
    <w:p w14:paraId="1F0C3FA0" w14:textId="4E9B9114" w:rsidR="000445EC" w:rsidRPr="00794BB3" w:rsidRDefault="00794BB3" w:rsidP="00C36829">
      <w:pPr>
        <w:pStyle w:val="Heading4"/>
      </w:pPr>
      <w:bookmarkStart w:id="41" w:name="_Toc220693065"/>
      <w:r>
        <w:t>3</w:t>
      </w:r>
      <w:r w:rsidR="000445EC" w:rsidRPr="00794BB3">
        <w:t>. Output and Originality</w:t>
      </w:r>
      <w:bookmarkEnd w:id="41"/>
    </w:p>
    <w:p w14:paraId="33F1928D" w14:textId="126C8027" w:rsidR="000445EC" w:rsidRP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 xml:space="preserve">When a model generates new content, </w:t>
      </w:r>
      <w:r w:rsidR="00E73FCD">
        <w:rPr>
          <w:rFonts w:ascii="Times New Roman" w:eastAsia="Times New Roman" w:hAnsi="Times New Roman" w:cs="Times New Roman"/>
          <w:kern w:val="0"/>
          <w14:ligatures w14:val="none"/>
        </w:rPr>
        <w:t>two</w:t>
      </w:r>
      <w:r w:rsidRPr="000445EC">
        <w:rPr>
          <w:rFonts w:ascii="Times New Roman" w:eastAsia="Times New Roman" w:hAnsi="Times New Roman" w:cs="Times New Roman"/>
          <w:kern w:val="0"/>
          <w14:ligatures w14:val="none"/>
        </w:rPr>
        <w:t xml:space="preserve"> different question arise</w:t>
      </w:r>
      <w:r w:rsidR="00725536">
        <w:rPr>
          <w:rFonts w:ascii="Times New Roman" w:eastAsia="Times New Roman" w:hAnsi="Times New Roman" w:cs="Times New Roman"/>
          <w:kern w:val="0"/>
          <w14:ligatures w14:val="none"/>
        </w:rPr>
        <w:t>. The first one</w:t>
      </w:r>
      <w:r w:rsidRPr="000445EC">
        <w:rPr>
          <w:rFonts w:ascii="Times New Roman" w:eastAsia="Times New Roman" w:hAnsi="Times New Roman" w:cs="Times New Roman"/>
          <w:kern w:val="0"/>
          <w14:ligatures w14:val="none"/>
        </w:rPr>
        <w:t>: does the resulting output embody sufficient human creativity to merit copyright protection?</w:t>
      </w:r>
      <w:r w:rsidR="00725536">
        <w:rPr>
          <w:rFonts w:ascii="Times New Roman" w:eastAsia="Times New Roman" w:hAnsi="Times New Roman" w:cs="Times New Roman"/>
          <w:kern w:val="0"/>
          <w14:ligatures w14:val="none"/>
        </w:rPr>
        <w:t xml:space="preserve"> [The second one will be addressed in the next section.]</w:t>
      </w:r>
      <w:r w:rsidRPr="000445EC">
        <w:rPr>
          <w:rFonts w:ascii="Times New Roman" w:eastAsia="Times New Roman" w:hAnsi="Times New Roman" w:cs="Times New Roman"/>
          <w:kern w:val="0"/>
          <w14:ligatures w14:val="none"/>
        </w:rPr>
        <w:t xml:space="preserve"> </w:t>
      </w:r>
      <w:r w:rsidRPr="000445EC">
        <w:rPr>
          <w:rFonts w:ascii="Times New Roman" w:eastAsia="Times New Roman" w:hAnsi="Times New Roman" w:cs="Times New Roman"/>
          <w:i/>
          <w:iCs/>
          <w:kern w:val="0"/>
          <w14:ligatures w14:val="none"/>
        </w:rPr>
        <w:t>Feist</w:t>
      </w:r>
      <w:r w:rsidRPr="000445EC">
        <w:rPr>
          <w:rFonts w:ascii="Times New Roman" w:eastAsia="Times New Roman" w:hAnsi="Times New Roman" w:cs="Times New Roman"/>
          <w:kern w:val="0"/>
          <w14:ligatures w14:val="none"/>
        </w:rPr>
        <w:t xml:space="preserve"> held that copyright requires independent creation and a “modicum of creativity.”</w:t>
      </w:r>
      <w:r w:rsidRPr="000445EC">
        <w:rPr>
          <w:rFonts w:ascii="Times New Roman" w:eastAsia="Times New Roman" w:hAnsi="Times New Roman" w:cs="Times New Roman"/>
          <w:kern w:val="0"/>
          <w:vertAlign w:val="superscript"/>
          <w14:ligatures w14:val="none"/>
        </w:rPr>
        <w:footnoteReference w:id="151"/>
      </w:r>
      <w:r w:rsidRPr="000445EC">
        <w:rPr>
          <w:rFonts w:ascii="Times New Roman" w:eastAsia="Times New Roman" w:hAnsi="Times New Roman" w:cs="Times New Roman"/>
          <w:kern w:val="0"/>
          <w14:ligatures w14:val="none"/>
        </w:rPr>
        <w:t xml:space="preserve"> That standard, easily satisfied by even minimal human </w:t>
      </w:r>
      <w:r w:rsidRPr="000445EC">
        <w:rPr>
          <w:rFonts w:ascii="Times New Roman" w:eastAsia="Times New Roman" w:hAnsi="Times New Roman" w:cs="Times New Roman"/>
          <w:kern w:val="0"/>
          <w14:ligatures w14:val="none"/>
        </w:rPr>
        <w:lastRenderedPageBreak/>
        <w:t xml:space="preserve">judgment, becomes difficult to apply when the “creator” is an algorithm. </w:t>
      </w:r>
      <w:r w:rsidR="006F6923">
        <w:rPr>
          <w:rFonts w:ascii="Times New Roman" w:eastAsia="Times New Roman" w:hAnsi="Times New Roman" w:cs="Times New Roman"/>
          <w:i/>
          <w:iCs/>
          <w:kern w:val="0"/>
          <w14:ligatures w14:val="none"/>
        </w:rPr>
        <w:t>Copyright R</w:t>
      </w:r>
      <w:r w:rsidRPr="000445EC">
        <w:rPr>
          <w:rFonts w:ascii="Times New Roman" w:eastAsia="Times New Roman" w:hAnsi="Times New Roman" w:cs="Times New Roman"/>
          <w:i/>
          <w:iCs/>
          <w:kern w:val="0"/>
          <w14:ligatures w14:val="none"/>
        </w:rPr>
        <w:t xml:space="preserve">egistration Guidance </w:t>
      </w:r>
      <w:r w:rsidRPr="000445EC">
        <w:rPr>
          <w:rFonts w:ascii="Times New Roman" w:eastAsia="Times New Roman" w:hAnsi="Times New Roman" w:cs="Times New Roman"/>
          <w:kern w:val="0"/>
          <w14:ligatures w14:val="none"/>
        </w:rPr>
        <w:t>confirms that copyright extends only to human-authored portions of a work.</w:t>
      </w:r>
      <w:r w:rsidRPr="000445EC">
        <w:rPr>
          <w:rFonts w:ascii="Times New Roman" w:eastAsia="Times New Roman" w:hAnsi="Times New Roman" w:cs="Times New Roman"/>
          <w:kern w:val="0"/>
          <w:vertAlign w:val="superscript"/>
          <w14:ligatures w14:val="none"/>
        </w:rPr>
        <w:footnoteReference w:id="152"/>
      </w:r>
    </w:p>
    <w:p w14:paraId="0E4D88F3" w14:textId="71EF1719" w:rsidR="000445EC" w:rsidRP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In practice, this means that if a user exercises creative control over the output—by selecting prompts, editing results, or combining generated material into a larger composition—the human contributions may be protected even if the underlying generative process is not.</w:t>
      </w:r>
      <w:r w:rsidRPr="000445EC">
        <w:rPr>
          <w:rFonts w:ascii="Times New Roman" w:eastAsia="Times New Roman" w:hAnsi="Times New Roman" w:cs="Times New Roman"/>
          <w:kern w:val="0"/>
          <w:vertAlign w:val="superscript"/>
          <w14:ligatures w14:val="none"/>
        </w:rPr>
        <w:footnoteReference w:id="153"/>
      </w:r>
      <w:r w:rsidRPr="000445EC">
        <w:rPr>
          <w:rFonts w:ascii="Times New Roman" w:eastAsia="Times New Roman" w:hAnsi="Times New Roman" w:cs="Times New Roman"/>
          <w:kern w:val="0"/>
          <w14:ligatures w14:val="none"/>
        </w:rPr>
        <w:t xml:space="preserve"> The dividing line between human authorship and machine assistance thus becomes one of degree, not kind. Just as a photographer’s selection of angle and lighting transformed a mechanical process into human authorship in </w:t>
      </w:r>
      <w:r w:rsidRPr="000445EC">
        <w:rPr>
          <w:rFonts w:ascii="Times New Roman" w:eastAsia="Times New Roman" w:hAnsi="Times New Roman" w:cs="Times New Roman"/>
          <w:i/>
          <w:iCs/>
          <w:kern w:val="0"/>
          <w14:ligatures w14:val="none"/>
        </w:rPr>
        <w:t>Burrow-Giles</w:t>
      </w:r>
      <w:r w:rsidRPr="000445EC">
        <w:rPr>
          <w:rFonts w:ascii="Times New Roman" w:eastAsia="Times New Roman" w:hAnsi="Times New Roman" w:cs="Times New Roman"/>
          <w:kern w:val="0"/>
          <w14:ligatures w14:val="none"/>
        </w:rPr>
        <w:t>, so too might a user’s creative decisions convert AI assistance into protected expression.</w:t>
      </w:r>
      <w:r w:rsidRPr="000445EC">
        <w:rPr>
          <w:rFonts w:ascii="Times New Roman" w:eastAsia="Times New Roman" w:hAnsi="Times New Roman" w:cs="Times New Roman"/>
          <w:kern w:val="0"/>
          <w:vertAlign w:val="superscript"/>
          <w14:ligatures w14:val="none"/>
        </w:rPr>
        <w:footnoteReference w:id="154"/>
      </w:r>
      <w:r w:rsidR="00F82872">
        <w:rPr>
          <w:rFonts w:ascii="Times New Roman" w:eastAsia="Times New Roman" w:hAnsi="Times New Roman" w:cs="Times New Roman"/>
          <w:kern w:val="0"/>
          <w14:ligatures w14:val="none"/>
        </w:rPr>
        <w:t xml:space="preserve"> </w:t>
      </w:r>
      <w:r w:rsidRPr="000445EC">
        <w:rPr>
          <w:rFonts w:ascii="Times New Roman" w:eastAsia="Times New Roman" w:hAnsi="Times New Roman" w:cs="Times New Roman"/>
          <w:kern w:val="0"/>
          <w14:ligatures w14:val="none"/>
        </w:rPr>
        <w:t xml:space="preserve">The </w:t>
      </w:r>
      <w:r w:rsidR="00BE0AAB">
        <w:rPr>
          <w:rFonts w:ascii="Times New Roman" w:eastAsia="Times New Roman" w:hAnsi="Times New Roman" w:cs="Times New Roman"/>
          <w:kern w:val="0"/>
          <w14:ligatures w14:val="none"/>
        </w:rPr>
        <w:t>Office</w:t>
      </w:r>
      <w:r w:rsidRPr="000445EC">
        <w:rPr>
          <w:rFonts w:ascii="Times New Roman" w:eastAsia="Times New Roman" w:hAnsi="Times New Roman" w:cs="Times New Roman"/>
          <w:kern w:val="0"/>
          <w14:ligatures w14:val="none"/>
        </w:rPr>
        <w:t xml:space="preserve">’s 2025 </w:t>
      </w:r>
      <w:r w:rsidRPr="000445EC">
        <w:rPr>
          <w:rFonts w:ascii="Times New Roman" w:eastAsia="Times New Roman" w:hAnsi="Times New Roman" w:cs="Times New Roman"/>
          <w:i/>
          <w:iCs/>
          <w:kern w:val="0"/>
          <w14:ligatures w14:val="none"/>
        </w:rPr>
        <w:t xml:space="preserve">Copyright </w:t>
      </w:r>
      <w:r w:rsidR="00ED339A">
        <w:rPr>
          <w:rFonts w:ascii="Times New Roman" w:eastAsia="Times New Roman" w:hAnsi="Times New Roman" w:cs="Times New Roman"/>
          <w:i/>
          <w:iCs/>
          <w:kern w:val="0"/>
          <w14:ligatures w14:val="none"/>
        </w:rPr>
        <w:t>Office</w:t>
      </w:r>
      <w:r w:rsidRPr="000445EC">
        <w:rPr>
          <w:rFonts w:ascii="Times New Roman" w:eastAsia="Times New Roman" w:hAnsi="Times New Roman" w:cs="Times New Roman"/>
          <w:i/>
          <w:iCs/>
          <w:kern w:val="0"/>
          <w14:ligatures w14:val="none"/>
        </w:rPr>
        <w:t xml:space="preserve">: Part </w:t>
      </w:r>
      <w:r w:rsidR="00ED339A">
        <w:rPr>
          <w:rFonts w:ascii="Times New Roman" w:eastAsia="Times New Roman" w:hAnsi="Times New Roman" w:cs="Times New Roman"/>
          <w:i/>
          <w:iCs/>
          <w:kern w:val="0"/>
          <w14:ligatures w14:val="none"/>
        </w:rPr>
        <w:t>2</w:t>
      </w:r>
      <w:r w:rsidRPr="000445EC">
        <w:rPr>
          <w:rFonts w:ascii="Times New Roman" w:eastAsia="Times New Roman" w:hAnsi="Times New Roman" w:cs="Times New Roman"/>
          <w:kern w:val="0"/>
          <w14:ligatures w14:val="none"/>
        </w:rPr>
        <w:t xml:space="preserve"> report canvassed these issues extensively, noting that prompt design alone does not necessarily make a user an “author,” but that iterative, creative prompting and curation can amount to the human intellectual conception required for protection.</w:t>
      </w:r>
      <w:r w:rsidRPr="000445EC">
        <w:rPr>
          <w:rFonts w:ascii="Times New Roman" w:eastAsia="Times New Roman" w:hAnsi="Times New Roman" w:cs="Times New Roman"/>
          <w:kern w:val="0"/>
          <w:vertAlign w:val="superscript"/>
          <w14:ligatures w14:val="none"/>
        </w:rPr>
        <w:footnoteReference w:id="155"/>
      </w:r>
    </w:p>
    <w:p w14:paraId="5C04CB4D" w14:textId="373B745B" w:rsidR="000445EC" w:rsidRPr="00794BB3" w:rsidRDefault="00794BB3" w:rsidP="00C36829">
      <w:pPr>
        <w:pStyle w:val="Heading4"/>
      </w:pPr>
      <w:bookmarkStart w:id="43" w:name="_Toc220693066"/>
      <w:r>
        <w:t>4</w:t>
      </w:r>
      <w:r w:rsidR="000445EC" w:rsidRPr="00794BB3">
        <w:t>. Style, Substantial Similarity</w:t>
      </w:r>
      <w:r w:rsidR="00725536">
        <w:t xml:space="preserve">, </w:t>
      </w:r>
      <w:r w:rsidR="004E5146">
        <w:t xml:space="preserve">Derivative Works, </w:t>
      </w:r>
      <w:r w:rsidR="00725536">
        <w:t>and Rights of Public</w:t>
      </w:r>
      <w:r w:rsidR="003F497B">
        <w:t>i</w:t>
      </w:r>
      <w:r w:rsidR="00725536">
        <w:t>ty</w:t>
      </w:r>
      <w:bookmarkEnd w:id="43"/>
    </w:p>
    <w:p w14:paraId="3EF8200A" w14:textId="16F7DC23" w:rsidR="000445EC" w:rsidRP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 xml:space="preserve">The </w:t>
      </w:r>
      <w:r w:rsidR="00725536">
        <w:rPr>
          <w:rFonts w:ascii="Times New Roman" w:eastAsia="Times New Roman" w:hAnsi="Times New Roman" w:cs="Times New Roman"/>
          <w:kern w:val="0"/>
          <w14:ligatures w14:val="none"/>
        </w:rPr>
        <w:t xml:space="preserve">second question arises </w:t>
      </w:r>
      <w:r w:rsidRPr="000445EC">
        <w:rPr>
          <w:rFonts w:ascii="Times New Roman" w:eastAsia="Times New Roman" w:hAnsi="Times New Roman" w:cs="Times New Roman"/>
          <w:kern w:val="0"/>
          <w14:ligatures w14:val="none"/>
        </w:rPr>
        <w:t xml:space="preserve">when generated outputs closely mimic existing creative styles or compositions. </w:t>
      </w:r>
      <w:r w:rsidR="00D17433">
        <w:rPr>
          <w:rFonts w:ascii="Times New Roman" w:eastAsia="Times New Roman" w:hAnsi="Times New Roman" w:cs="Times New Roman"/>
          <w:kern w:val="0"/>
          <w14:ligatures w14:val="none"/>
        </w:rPr>
        <w:t>Are these expressive works, worthy of copyright protection, or are they derivative works</w:t>
      </w:r>
      <w:r w:rsidR="0012237F">
        <w:rPr>
          <w:rFonts w:ascii="Times New Roman" w:eastAsia="Times New Roman" w:hAnsi="Times New Roman" w:cs="Times New Roman"/>
          <w:kern w:val="0"/>
          <w14:ligatures w14:val="none"/>
        </w:rPr>
        <w:t xml:space="preserve"> or otherwise infringing</w:t>
      </w:r>
      <w:r w:rsidR="00D17433">
        <w:rPr>
          <w:rFonts w:ascii="Times New Roman" w:eastAsia="Times New Roman" w:hAnsi="Times New Roman" w:cs="Times New Roman"/>
          <w:kern w:val="0"/>
          <w14:ligatures w14:val="none"/>
        </w:rPr>
        <w:t xml:space="preserve">? </w:t>
      </w:r>
      <w:r w:rsidRPr="000445EC">
        <w:rPr>
          <w:rFonts w:ascii="Times New Roman" w:eastAsia="Times New Roman" w:hAnsi="Times New Roman" w:cs="Times New Roman"/>
          <w:kern w:val="0"/>
          <w14:ligatures w14:val="none"/>
        </w:rPr>
        <w:t>Courts assessing infringement traditionally look for “substantial similarity” in the protected expression of two works.</w:t>
      </w:r>
      <w:r w:rsidRPr="000445EC">
        <w:rPr>
          <w:rFonts w:ascii="Times New Roman" w:eastAsia="Times New Roman" w:hAnsi="Times New Roman" w:cs="Times New Roman"/>
          <w:kern w:val="0"/>
          <w:vertAlign w:val="superscript"/>
          <w14:ligatures w14:val="none"/>
        </w:rPr>
        <w:footnoteReference w:id="156"/>
      </w:r>
      <w:r w:rsidRPr="000445EC">
        <w:rPr>
          <w:rFonts w:ascii="Times New Roman" w:eastAsia="Times New Roman" w:hAnsi="Times New Roman" w:cs="Times New Roman"/>
          <w:kern w:val="0"/>
          <w14:ligatures w14:val="none"/>
        </w:rPr>
        <w:t xml:space="preserve"> Yet AI complicates that test: it may reproduce aspects of a creator’s “style” or “vibe” without copying any specific expression. Earlier cases about “look and feel” and musical “vibe”—from </w:t>
      </w:r>
      <w:r w:rsidRPr="000445EC">
        <w:rPr>
          <w:rFonts w:ascii="Times New Roman" w:eastAsia="Times New Roman" w:hAnsi="Times New Roman" w:cs="Times New Roman"/>
          <w:i/>
          <w:iCs/>
          <w:kern w:val="0"/>
          <w14:ligatures w14:val="none"/>
        </w:rPr>
        <w:t>Atari</w:t>
      </w:r>
      <w:r w:rsidRPr="000445EC">
        <w:rPr>
          <w:rFonts w:ascii="Times New Roman" w:eastAsia="Times New Roman" w:hAnsi="Times New Roman" w:cs="Times New Roman"/>
          <w:kern w:val="0"/>
          <w14:ligatures w14:val="none"/>
        </w:rPr>
        <w:t xml:space="preserve"> to </w:t>
      </w:r>
      <w:r w:rsidRPr="000445EC">
        <w:rPr>
          <w:rFonts w:ascii="Times New Roman" w:eastAsia="Times New Roman" w:hAnsi="Times New Roman" w:cs="Times New Roman"/>
          <w:i/>
          <w:iCs/>
          <w:kern w:val="0"/>
          <w14:ligatures w14:val="none"/>
        </w:rPr>
        <w:t>Blurred Lines</w:t>
      </w:r>
      <w:r w:rsidRPr="000445EC">
        <w:rPr>
          <w:rFonts w:ascii="Times New Roman" w:eastAsia="Times New Roman" w:hAnsi="Times New Roman" w:cs="Times New Roman"/>
          <w:kern w:val="0"/>
          <w14:ligatures w14:val="none"/>
        </w:rPr>
        <w:t>—illustrate the difficulty of distinguishing inspiration from appropriation.</w:t>
      </w:r>
      <w:r w:rsidRPr="000445EC">
        <w:rPr>
          <w:rFonts w:ascii="Times New Roman" w:eastAsia="Times New Roman" w:hAnsi="Times New Roman" w:cs="Times New Roman"/>
          <w:kern w:val="0"/>
          <w:vertAlign w:val="superscript"/>
          <w14:ligatures w14:val="none"/>
        </w:rPr>
        <w:footnoteReference w:id="157"/>
      </w:r>
    </w:p>
    <w:p w14:paraId="4FF1FC05" w14:textId="3095A587" w:rsidR="000445EC" w:rsidRDefault="000445EC" w:rsidP="000445EC">
      <w:pPr>
        <w:spacing w:before="100" w:beforeAutospacing="1" w:after="100" w:afterAutospacing="1" w:line="240" w:lineRule="auto"/>
        <w:rPr>
          <w:rFonts w:ascii="Times New Roman" w:eastAsia="Times New Roman" w:hAnsi="Times New Roman" w:cs="Times New Roman"/>
          <w:kern w:val="0"/>
          <w14:ligatures w14:val="none"/>
        </w:rPr>
      </w:pPr>
      <w:r w:rsidRPr="000445EC">
        <w:rPr>
          <w:rFonts w:ascii="Times New Roman" w:eastAsia="Times New Roman" w:hAnsi="Times New Roman" w:cs="Times New Roman"/>
          <w:kern w:val="0"/>
          <w14:ligatures w14:val="none"/>
        </w:rPr>
        <w:t xml:space="preserve">This </w:t>
      </w:r>
      <w:r w:rsidR="00725536">
        <w:rPr>
          <w:rFonts w:ascii="Times New Roman" w:eastAsia="Times New Roman" w:hAnsi="Times New Roman" w:cs="Times New Roman"/>
          <w:kern w:val="0"/>
          <w14:ligatures w14:val="none"/>
        </w:rPr>
        <w:t xml:space="preserve">often </w:t>
      </w:r>
      <w:r w:rsidRPr="000445EC">
        <w:rPr>
          <w:rFonts w:ascii="Times New Roman" w:eastAsia="Times New Roman" w:hAnsi="Times New Roman" w:cs="Times New Roman"/>
          <w:kern w:val="0"/>
          <w14:ligatures w14:val="none"/>
        </w:rPr>
        <w:t xml:space="preserve">raises a deeper question: when a model reproduces the “essence” of an artist’s style, is it copying expression or merely </w:t>
      </w:r>
      <w:r w:rsidR="00D34A99">
        <w:rPr>
          <w:rFonts w:ascii="Times New Roman" w:eastAsia="Times New Roman" w:hAnsi="Times New Roman" w:cs="Times New Roman"/>
          <w:kern w:val="0"/>
          <w14:ligatures w14:val="none"/>
        </w:rPr>
        <w:t>exploring</w:t>
      </w:r>
      <w:r w:rsidRPr="000445EC">
        <w:rPr>
          <w:rFonts w:ascii="Times New Roman" w:eastAsia="Times New Roman" w:hAnsi="Times New Roman" w:cs="Times New Roman"/>
          <w:kern w:val="0"/>
          <w14:ligatures w14:val="none"/>
        </w:rPr>
        <w:t xml:space="preserve"> an idea? Copyright doctrine suggests the latter. Style, like genre or technique, has generally been treated as unprotectable. But as generative tools grow capable of producing near-perfect imitations of individual creative voices, that doctrinal line will again be tested. The same flexibility that allowed courts to distinguish expression from idea in </w:t>
      </w:r>
      <w:r w:rsidRPr="000445EC">
        <w:rPr>
          <w:rFonts w:ascii="Times New Roman" w:eastAsia="Times New Roman" w:hAnsi="Times New Roman" w:cs="Times New Roman"/>
          <w:kern w:val="0"/>
          <w14:ligatures w14:val="none"/>
        </w:rPr>
        <w:lastRenderedPageBreak/>
        <w:t>software</w:t>
      </w:r>
      <w:r w:rsidR="007B2FFB">
        <w:rPr>
          <w:rFonts w:ascii="Times New Roman" w:eastAsia="Times New Roman" w:hAnsi="Times New Roman" w:cs="Times New Roman"/>
          <w:kern w:val="0"/>
          <w14:ligatures w14:val="none"/>
        </w:rPr>
        <w:t>,</w:t>
      </w:r>
      <w:r w:rsidR="007B2FFB">
        <w:rPr>
          <w:rStyle w:val="FootnoteReference"/>
          <w:rFonts w:ascii="Times New Roman" w:eastAsia="Times New Roman" w:hAnsi="Times New Roman" w:cs="Times New Roman"/>
          <w:kern w:val="0"/>
          <w14:ligatures w14:val="none"/>
        </w:rPr>
        <w:footnoteReference w:id="158"/>
      </w:r>
      <w:r w:rsidRPr="000445EC">
        <w:rPr>
          <w:rFonts w:ascii="Times New Roman" w:eastAsia="Times New Roman" w:hAnsi="Times New Roman" w:cs="Times New Roman"/>
          <w:kern w:val="0"/>
          <w14:ligatures w14:val="none"/>
        </w:rPr>
        <w:t xml:space="preserve"> </w:t>
      </w:r>
      <w:r w:rsidR="00F82872">
        <w:rPr>
          <w:rFonts w:ascii="Times New Roman" w:eastAsia="Times New Roman" w:hAnsi="Times New Roman" w:cs="Times New Roman"/>
          <w:kern w:val="0"/>
          <w14:ligatures w14:val="none"/>
        </w:rPr>
        <w:t xml:space="preserve">software </w:t>
      </w:r>
      <w:r w:rsidRPr="000445EC">
        <w:rPr>
          <w:rFonts w:ascii="Times New Roman" w:eastAsia="Times New Roman" w:hAnsi="Times New Roman" w:cs="Times New Roman"/>
          <w:kern w:val="0"/>
          <w14:ligatures w14:val="none"/>
        </w:rPr>
        <w:t>interface,</w:t>
      </w:r>
      <w:r w:rsidR="007B2FFB">
        <w:rPr>
          <w:rStyle w:val="FootnoteReference"/>
          <w:rFonts w:ascii="Times New Roman" w:eastAsia="Times New Roman" w:hAnsi="Times New Roman" w:cs="Times New Roman"/>
          <w:kern w:val="0"/>
          <w14:ligatures w14:val="none"/>
        </w:rPr>
        <w:footnoteReference w:id="159"/>
      </w:r>
      <w:r w:rsidRPr="000445EC">
        <w:rPr>
          <w:rFonts w:ascii="Times New Roman" w:eastAsia="Times New Roman" w:hAnsi="Times New Roman" w:cs="Times New Roman"/>
          <w:kern w:val="0"/>
          <w14:ligatures w14:val="none"/>
        </w:rPr>
        <w:t xml:space="preserve"> and music</w:t>
      </w:r>
      <w:r w:rsidR="007B2FFB">
        <w:rPr>
          <w:rStyle w:val="FootnoteReference"/>
          <w:rFonts w:ascii="Times New Roman" w:eastAsia="Times New Roman" w:hAnsi="Times New Roman" w:cs="Times New Roman"/>
          <w:kern w:val="0"/>
          <w14:ligatures w14:val="none"/>
        </w:rPr>
        <w:footnoteReference w:id="160"/>
      </w:r>
      <w:r w:rsidRPr="000445EC">
        <w:rPr>
          <w:rFonts w:ascii="Times New Roman" w:eastAsia="Times New Roman" w:hAnsi="Times New Roman" w:cs="Times New Roman"/>
          <w:kern w:val="0"/>
          <w14:ligatures w14:val="none"/>
        </w:rPr>
        <w:t xml:space="preserve"> cases may soon be called upon to draw those lines </w:t>
      </w:r>
      <w:r w:rsidR="007B2FFB">
        <w:rPr>
          <w:rFonts w:ascii="Times New Roman" w:eastAsia="Times New Roman" w:hAnsi="Times New Roman" w:cs="Times New Roman"/>
          <w:kern w:val="0"/>
          <w14:ligatures w14:val="none"/>
        </w:rPr>
        <w:t>for</w:t>
      </w:r>
      <w:r w:rsidRPr="000445EC">
        <w:rPr>
          <w:rFonts w:ascii="Times New Roman" w:eastAsia="Times New Roman" w:hAnsi="Times New Roman" w:cs="Times New Roman"/>
          <w:kern w:val="0"/>
          <w14:ligatures w14:val="none"/>
        </w:rPr>
        <w:t xml:space="preserve"> machine-generated </w:t>
      </w:r>
      <w:r w:rsidR="007B2FFB">
        <w:rPr>
          <w:rFonts w:ascii="Times New Roman" w:eastAsia="Times New Roman" w:hAnsi="Times New Roman" w:cs="Times New Roman"/>
          <w:kern w:val="0"/>
          <w14:ligatures w14:val="none"/>
        </w:rPr>
        <w:t>expression</w:t>
      </w:r>
      <w:r w:rsidRPr="000445EC">
        <w:rPr>
          <w:rFonts w:ascii="Times New Roman" w:eastAsia="Times New Roman" w:hAnsi="Times New Roman" w:cs="Times New Roman"/>
          <w:kern w:val="0"/>
          <w14:ligatures w14:val="none"/>
        </w:rPr>
        <w:t>.</w:t>
      </w:r>
    </w:p>
    <w:p w14:paraId="2B62F0BD" w14:textId="531F6265" w:rsidR="00725536" w:rsidRDefault="00725536" w:rsidP="000445E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Yet another question has already surfaced: what if the output mimics a person’s look, voice, persona, style? This implicates rights of publicity and potentially First Amendment implications.</w:t>
      </w:r>
      <w:r w:rsidR="00923CA2">
        <w:rPr>
          <w:rFonts w:ascii="Times New Roman" w:eastAsia="Times New Roman" w:hAnsi="Times New Roman" w:cs="Times New Roman"/>
          <w:kern w:val="0"/>
          <w14:ligatures w14:val="none"/>
        </w:rPr>
        <w:t xml:space="preserve"> These cases will soon proliferate.</w:t>
      </w:r>
    </w:p>
    <w:p w14:paraId="0B6095DC" w14:textId="1212C93F" w:rsidR="00A2646B" w:rsidRPr="00794BB3" w:rsidRDefault="00A2646B" w:rsidP="00A2646B">
      <w:pPr>
        <w:pStyle w:val="Heading4"/>
      </w:pPr>
      <w:bookmarkStart w:id="44" w:name="_Toc220693067"/>
      <w:r>
        <w:t>5</w:t>
      </w:r>
      <w:r w:rsidRPr="00794BB3">
        <w:t xml:space="preserve">. </w:t>
      </w:r>
      <w:r>
        <w:t>Memorization, Safeguards, and Unlearning</w:t>
      </w:r>
      <w:bookmarkEnd w:id="44"/>
    </w:p>
    <w:p w14:paraId="437602C1" w14:textId="4B83C293" w:rsidR="00A2646B" w:rsidRDefault="00A2646B" w:rsidP="00A2646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Cases are beginning to address the issue of “memorization” by AI models. </w:t>
      </w:r>
      <w:r w:rsidRPr="002A400B">
        <w:rPr>
          <w:rFonts w:ascii="Times New Roman" w:eastAsia="Times New Roman" w:hAnsi="Times New Roman" w:cs="Times New Roman"/>
          <w:i/>
          <w:kern w:val="0"/>
          <w14:ligatures w14:val="none"/>
        </w:rPr>
        <w:t>Memorization</w:t>
      </w:r>
      <w:r>
        <w:rPr>
          <w:rFonts w:ascii="Times New Roman" w:eastAsia="Times New Roman" w:hAnsi="Times New Roman" w:cs="Times New Roman"/>
          <w:kern w:val="0"/>
          <w14:ligatures w14:val="none"/>
        </w:rPr>
        <w:t xml:space="preserve"> is when “an exact or near-exact copy of a piece of training data can be reconstructed by examining [a] model.”</w:t>
      </w:r>
      <w:r>
        <w:rPr>
          <w:rStyle w:val="FootnoteReference"/>
          <w:rFonts w:ascii="Times New Roman" w:eastAsia="Times New Roman" w:hAnsi="Times New Roman" w:cs="Times New Roman"/>
          <w:kern w:val="0"/>
          <w14:ligatures w14:val="none"/>
        </w:rPr>
        <w:footnoteReference w:id="161"/>
      </w:r>
      <w:r>
        <w:rPr>
          <w:rFonts w:ascii="Times New Roman" w:eastAsia="Times New Roman" w:hAnsi="Times New Roman" w:cs="Times New Roman"/>
          <w:kern w:val="0"/>
          <w14:ligatures w14:val="none"/>
        </w:rPr>
        <w:t xml:space="preserve"> More specifically, </w:t>
      </w:r>
      <w:r w:rsidRPr="002A400B">
        <w:rPr>
          <w:rFonts w:ascii="Times New Roman" w:eastAsia="Times New Roman" w:hAnsi="Times New Roman" w:cs="Times New Roman"/>
          <w:i/>
          <w:kern w:val="0"/>
          <w14:ligatures w14:val="none"/>
        </w:rPr>
        <w:t>extraction</w:t>
      </w:r>
      <w:r>
        <w:rPr>
          <w:rFonts w:ascii="Times New Roman" w:eastAsia="Times New Roman" w:hAnsi="Times New Roman" w:cs="Times New Roman"/>
          <w:kern w:val="0"/>
          <w14:ligatures w14:val="none"/>
        </w:rPr>
        <w:t xml:space="preserve"> is “when a user intentionally and successfully prompts a model to generate an output that is an exact or near-exact copy of a piece of training data;” </w:t>
      </w:r>
      <w:r w:rsidRPr="002A400B">
        <w:rPr>
          <w:rFonts w:ascii="Times New Roman" w:eastAsia="Times New Roman" w:hAnsi="Times New Roman" w:cs="Times New Roman"/>
          <w:i/>
          <w:kern w:val="0"/>
          <w14:ligatures w14:val="none"/>
        </w:rPr>
        <w:t>regurgitation</w:t>
      </w:r>
      <w:r>
        <w:rPr>
          <w:rFonts w:ascii="Times New Roman" w:eastAsia="Times New Roman" w:hAnsi="Times New Roman" w:cs="Times New Roman"/>
          <w:kern w:val="0"/>
          <w14:ligatures w14:val="none"/>
        </w:rPr>
        <w:t xml:space="preserve"> is “when “a model generates an output that is an exact or near-exact copy of [a] piece of training data (whether or not the user intentionally prompted the model with that goal).”</w:t>
      </w:r>
      <w:r w:rsidR="001D3A08">
        <w:rPr>
          <w:rStyle w:val="FootnoteReference"/>
          <w:rFonts w:ascii="Times New Roman" w:eastAsia="Times New Roman" w:hAnsi="Times New Roman" w:cs="Times New Roman"/>
          <w:kern w:val="0"/>
          <w14:ligatures w14:val="none"/>
        </w:rPr>
        <w:footnoteReference w:id="162"/>
      </w:r>
      <w:r>
        <w:rPr>
          <w:rFonts w:ascii="Times New Roman" w:eastAsia="Times New Roman" w:hAnsi="Times New Roman" w:cs="Times New Roman"/>
          <w:kern w:val="0"/>
          <w14:ligatures w14:val="none"/>
        </w:rPr>
        <w:t xml:space="preserve"> Obviously, copyright claims are more likely to arise when models generate output that extracts or regurgitates copyrighted expression from the training data.</w:t>
      </w:r>
    </w:p>
    <w:p w14:paraId="21547923" w14:textId="5D94466C" w:rsidR="00A2646B" w:rsidRDefault="00921781" w:rsidP="00A2646B">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 </w:t>
      </w:r>
      <w:r w:rsidR="00E4600F">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 xml:space="preserve">atthew Sag wrote, </w:t>
      </w:r>
      <w:r w:rsidR="00A2646B">
        <w:rPr>
          <w:rFonts w:ascii="Times New Roman" w:eastAsia="Times New Roman" w:hAnsi="Times New Roman" w:cs="Times New Roman"/>
          <w:kern w:val="0"/>
          <w14:ligatures w14:val="none"/>
        </w:rPr>
        <w:t>creators of AI models are beginning to realize that:</w:t>
      </w:r>
    </w:p>
    <w:p w14:paraId="40B7F115" w14:textId="77777777" w:rsidR="00A2646B" w:rsidRDefault="00A2646B" w:rsidP="00A2646B">
      <w:pPr>
        <w:spacing w:before="100" w:beforeAutospacing="1" w:after="100" w:afterAutospacing="1" w:line="240" w:lineRule="auto"/>
        <w:ind w:left="720"/>
        <w:rPr>
          <w:rFonts w:ascii="Times New Roman" w:eastAsia="Times New Roman" w:hAnsi="Times New Roman" w:cs="Times New Roman"/>
          <w:kern w:val="0"/>
          <w14:ligatures w14:val="none"/>
        </w:rPr>
      </w:pPr>
      <w:r w:rsidRPr="004E5146">
        <w:rPr>
          <w:rFonts w:ascii="Times New Roman" w:eastAsia="Times New Roman" w:hAnsi="Times New Roman" w:cs="Times New Roman"/>
          <w:kern w:val="0"/>
          <w14:ligatures w14:val="none"/>
        </w:rPr>
        <w:t>With appropriate safeguards in place,</w:t>
      </w:r>
      <w:r>
        <w:rPr>
          <w:rFonts w:ascii="Times New Roman" w:eastAsia="Times New Roman" w:hAnsi="Times New Roman" w:cs="Times New Roman"/>
          <w:kern w:val="0"/>
          <w14:ligatures w14:val="none"/>
        </w:rPr>
        <w:t xml:space="preserve"> </w:t>
      </w:r>
      <w:r w:rsidRPr="004E5146">
        <w:rPr>
          <w:rFonts w:ascii="Times New Roman" w:eastAsia="Times New Roman" w:hAnsi="Times New Roman" w:cs="Times New Roman"/>
          <w:kern w:val="0"/>
          <w14:ligatures w14:val="none"/>
        </w:rPr>
        <w:t>generative AI tools can be trained and deployed in a manner that respects the rights of original authors and artists, but still</w:t>
      </w:r>
      <w:r>
        <w:rPr>
          <w:rFonts w:ascii="Times New Roman" w:eastAsia="Times New Roman" w:hAnsi="Times New Roman" w:cs="Times New Roman"/>
          <w:kern w:val="0"/>
          <w14:ligatures w14:val="none"/>
        </w:rPr>
        <w:t xml:space="preserve"> </w:t>
      </w:r>
      <w:r w:rsidRPr="004E5146">
        <w:rPr>
          <w:rFonts w:ascii="Times New Roman" w:eastAsia="Times New Roman" w:hAnsi="Times New Roman" w:cs="Times New Roman"/>
          <w:kern w:val="0"/>
          <w14:ligatures w14:val="none"/>
        </w:rPr>
        <w:t>enables new creation. The legal and ethical imperative is to train models that learn abstract and uncopyrightable latent features</w:t>
      </w:r>
      <w:r>
        <w:rPr>
          <w:rFonts w:ascii="Times New Roman" w:eastAsia="Times New Roman" w:hAnsi="Times New Roman" w:cs="Times New Roman"/>
          <w:kern w:val="0"/>
          <w14:ligatures w14:val="none"/>
        </w:rPr>
        <w:t xml:space="preserve"> </w:t>
      </w:r>
      <w:r w:rsidRPr="004E5146">
        <w:rPr>
          <w:rFonts w:ascii="Times New Roman" w:eastAsia="Times New Roman" w:hAnsi="Times New Roman" w:cs="Times New Roman"/>
          <w:kern w:val="0"/>
          <w14:ligatures w14:val="none"/>
        </w:rPr>
        <w:t>of the training data and that do not simply memorize a compressed version of the training data</w:t>
      </w:r>
      <w:r>
        <w:rPr>
          <w:rFonts w:ascii="Times New Roman" w:eastAsia="Times New Roman" w:hAnsi="Times New Roman" w:cs="Times New Roman"/>
          <w:kern w:val="0"/>
          <w14:ligatures w14:val="none"/>
        </w:rPr>
        <w:t>.</w:t>
      </w:r>
      <w:r>
        <w:rPr>
          <w:rStyle w:val="FootnoteReference"/>
          <w:rFonts w:ascii="Times New Roman" w:eastAsia="Times New Roman" w:hAnsi="Times New Roman" w:cs="Times New Roman"/>
          <w:kern w:val="0"/>
          <w14:ligatures w14:val="none"/>
        </w:rPr>
        <w:footnoteReference w:id="163"/>
      </w:r>
    </w:p>
    <w:p w14:paraId="3CE5A51A" w14:textId="61E3C090" w:rsidR="00A2646B" w:rsidRDefault="00A2646B" w:rsidP="000445E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One such safeguard being explored is </w:t>
      </w:r>
      <w:r w:rsidRPr="002B35EF">
        <w:rPr>
          <w:rFonts w:ascii="Times New Roman" w:eastAsia="Times New Roman" w:hAnsi="Times New Roman" w:cs="Times New Roman"/>
          <w:i/>
          <w:kern w:val="0"/>
          <w14:ligatures w14:val="none"/>
        </w:rPr>
        <w:t>unlearning</w:t>
      </w:r>
      <w:r>
        <w:rPr>
          <w:rFonts w:ascii="Times New Roman" w:eastAsia="Times New Roman" w:hAnsi="Times New Roman" w:cs="Times New Roman"/>
          <w:kern w:val="0"/>
          <w14:ligatures w14:val="none"/>
        </w:rPr>
        <w:t>.</w:t>
      </w:r>
      <w:r w:rsidR="002B35EF">
        <w:rPr>
          <w:rStyle w:val="FootnoteReference"/>
          <w:rFonts w:ascii="Times New Roman" w:eastAsia="Times New Roman" w:hAnsi="Times New Roman" w:cs="Times New Roman"/>
          <w:kern w:val="0"/>
          <w14:ligatures w14:val="none"/>
        </w:rPr>
        <w:footnoteReference w:id="164"/>
      </w:r>
      <w:r>
        <w:rPr>
          <w:rFonts w:ascii="Times New Roman" w:eastAsia="Times New Roman" w:hAnsi="Times New Roman" w:cs="Times New Roman"/>
          <w:kern w:val="0"/>
          <w14:ligatures w14:val="none"/>
        </w:rPr>
        <w:t xml:space="preserve"> Unlearning methods attempt to </w:t>
      </w:r>
      <w:r w:rsidR="002B35E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target</w:t>
      </w:r>
      <w:r w:rsidR="002B35E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either exact duplication</w:t>
      </w:r>
      <w:r w:rsidR="002B35E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of copyrighted expression in model outputs</w:t>
      </w:r>
      <w:r w:rsidR="002B35EF">
        <w:rPr>
          <w:rFonts w:ascii="Times New Roman" w:eastAsia="Times New Roman" w:hAnsi="Times New Roman" w:cs="Times New Roman"/>
          <w:kern w:val="0"/>
          <w14:ligatures w14:val="none"/>
        </w:rPr>
        <w:t xml:space="preserve">” or other latent information </w:t>
      </w:r>
      <w:r w:rsidR="002B35EF">
        <w:rPr>
          <w:rFonts w:ascii="Times New Roman" w:eastAsia="Times New Roman" w:hAnsi="Times New Roman" w:cs="Times New Roman"/>
          <w:kern w:val="0"/>
          <w14:ligatures w14:val="none"/>
        </w:rPr>
        <w:lastRenderedPageBreak/>
        <w:t>related to creative expression.”</w:t>
      </w:r>
      <w:r w:rsidR="002B35EF">
        <w:rPr>
          <w:rStyle w:val="FootnoteReference"/>
          <w:rFonts w:ascii="Times New Roman" w:eastAsia="Times New Roman" w:hAnsi="Times New Roman" w:cs="Times New Roman"/>
          <w:kern w:val="0"/>
          <w14:ligatures w14:val="none"/>
        </w:rPr>
        <w:footnoteReference w:id="165"/>
      </w:r>
      <w:r w:rsidR="002B35EF">
        <w:rPr>
          <w:rFonts w:ascii="Times New Roman" w:eastAsia="Times New Roman" w:hAnsi="Times New Roman" w:cs="Times New Roman"/>
          <w:kern w:val="0"/>
          <w14:ligatures w14:val="none"/>
        </w:rPr>
        <w:t xml:space="preserve"> The idea is that if output results in something that is substantially similar to a copyrighted work upon which it trained, the model would attempt to filter this result.</w:t>
      </w:r>
      <w:r w:rsidR="002B35EF">
        <w:rPr>
          <w:rStyle w:val="FootnoteReference"/>
          <w:rFonts w:ascii="Times New Roman" w:eastAsia="Times New Roman" w:hAnsi="Times New Roman" w:cs="Times New Roman"/>
          <w:kern w:val="0"/>
          <w14:ligatures w14:val="none"/>
        </w:rPr>
        <w:footnoteReference w:id="166"/>
      </w:r>
      <w:r w:rsidR="002B35EF">
        <w:rPr>
          <w:rFonts w:ascii="Times New Roman" w:eastAsia="Times New Roman" w:hAnsi="Times New Roman" w:cs="Times New Roman"/>
          <w:kern w:val="0"/>
          <w14:ligatures w14:val="none"/>
        </w:rPr>
        <w:t xml:space="preserve"> A major obstacle, however, is that there is currently “no notion of similarity that can be used to programmatically and comprehensively determine which works are substantially similar in the interest of copyright law.”</w:t>
      </w:r>
      <w:r w:rsidR="002B35EF">
        <w:rPr>
          <w:rStyle w:val="FootnoteReference"/>
          <w:rFonts w:ascii="Times New Roman" w:eastAsia="Times New Roman" w:hAnsi="Times New Roman" w:cs="Times New Roman"/>
          <w:kern w:val="0"/>
          <w14:ligatures w14:val="none"/>
        </w:rPr>
        <w:footnoteReference w:id="167"/>
      </w:r>
    </w:p>
    <w:p w14:paraId="60C818A2" w14:textId="2B281D81" w:rsidR="00794BB3" w:rsidRDefault="00A2646B" w:rsidP="00C36829">
      <w:pPr>
        <w:pStyle w:val="Heading4"/>
      </w:pPr>
      <w:bookmarkStart w:id="45" w:name="_Toc220693068"/>
      <w:r>
        <w:t>6</w:t>
      </w:r>
      <w:r w:rsidR="00794BB3" w:rsidRPr="00794BB3">
        <w:t xml:space="preserve">. </w:t>
      </w:r>
      <w:r w:rsidR="00794BB3">
        <w:t>The Digital Millennium Copyright Act (DMCA)</w:t>
      </w:r>
      <w:bookmarkEnd w:id="45"/>
    </w:p>
    <w:p w14:paraId="6FAA60DA" w14:textId="7CAA2AD4" w:rsidR="00CA63AE" w:rsidRDefault="00CA63AE" w:rsidP="00CA63AE">
      <w:pPr>
        <w:spacing w:before="100" w:beforeAutospacing="1" w:after="100" w:afterAutospacing="1" w:line="240" w:lineRule="auto"/>
        <w:rPr>
          <w:rFonts w:ascii="Times New Roman" w:eastAsia="Times New Roman" w:hAnsi="Times New Roman" w:cs="Times New Roman"/>
          <w:bCs/>
        </w:rPr>
      </w:pPr>
      <w:r w:rsidRPr="00273902">
        <w:rPr>
          <w:rFonts w:ascii="Times New Roman" w:eastAsia="Times New Roman" w:hAnsi="Times New Roman" w:cs="Times New Roman"/>
          <w:bCs/>
        </w:rPr>
        <w:t xml:space="preserve">In parallel with classic infringement claims, plaintiffs increasingly invoke the </w:t>
      </w:r>
      <w:r>
        <w:rPr>
          <w:rFonts w:ascii="Times New Roman" w:eastAsia="Times New Roman" w:hAnsi="Times New Roman" w:cs="Times New Roman"/>
          <w:bCs/>
        </w:rPr>
        <w:t>Digital Millennium Copyright Act’s (</w:t>
      </w:r>
      <w:r w:rsidRPr="00273902">
        <w:rPr>
          <w:rFonts w:ascii="Times New Roman" w:eastAsia="Times New Roman" w:hAnsi="Times New Roman" w:cs="Times New Roman"/>
          <w:bCs/>
        </w:rPr>
        <w:t>DMCA</w:t>
      </w:r>
      <w:r>
        <w:rPr>
          <w:rFonts w:ascii="Times New Roman" w:eastAsia="Times New Roman" w:hAnsi="Times New Roman" w:cs="Times New Roman"/>
          <w:bCs/>
        </w:rPr>
        <w:t>)</w:t>
      </w:r>
      <w:r w:rsidRPr="00273902">
        <w:rPr>
          <w:rFonts w:ascii="Times New Roman" w:eastAsia="Times New Roman" w:hAnsi="Times New Roman" w:cs="Times New Roman"/>
          <w:bCs/>
        </w:rPr>
        <w:t xml:space="preserve"> process-focused provisions.</w:t>
      </w:r>
      <w:r w:rsidR="00F82872">
        <w:rPr>
          <w:rStyle w:val="FootnoteReference"/>
          <w:rFonts w:ascii="Times New Roman" w:eastAsia="Times New Roman" w:hAnsi="Times New Roman" w:cs="Times New Roman"/>
          <w:bCs/>
        </w:rPr>
        <w:footnoteReference w:id="168"/>
      </w:r>
      <w:r w:rsidRPr="00273902">
        <w:rPr>
          <w:rFonts w:ascii="Times New Roman" w:eastAsia="Times New Roman" w:hAnsi="Times New Roman" w:cs="Times New Roman"/>
          <w:bCs/>
        </w:rPr>
        <w:t xml:space="preserve"> </w:t>
      </w:r>
      <w:r w:rsidR="00314091">
        <w:rPr>
          <w:rFonts w:ascii="Times New Roman" w:eastAsia="Times New Roman" w:hAnsi="Times New Roman" w:cs="Times New Roman"/>
          <w:bCs/>
        </w:rPr>
        <w:t xml:space="preserve">Generally, </w:t>
      </w:r>
      <w:r w:rsidRPr="00273902">
        <w:rPr>
          <w:rFonts w:ascii="Times New Roman" w:eastAsia="Times New Roman" w:hAnsi="Times New Roman" w:cs="Times New Roman"/>
          <w:bCs/>
        </w:rPr>
        <w:t>Section 1201 targets the means of acquisition—arguing that bypassing paywalls, API gates, or even site-level crawl controls constitutes unlawful circumvention</w:t>
      </w:r>
      <w:r w:rsidR="00D563CE">
        <w:rPr>
          <w:rFonts w:ascii="Times New Roman" w:eastAsia="Times New Roman" w:hAnsi="Times New Roman" w:cs="Times New Roman"/>
          <w:bCs/>
        </w:rPr>
        <w:t>,</w:t>
      </w:r>
      <w:r>
        <w:rPr>
          <w:rStyle w:val="FootnoteReference"/>
          <w:rFonts w:ascii="Times New Roman" w:eastAsia="Times New Roman" w:hAnsi="Times New Roman" w:cs="Times New Roman"/>
          <w:bCs/>
        </w:rPr>
        <w:footnoteReference w:id="169"/>
      </w:r>
      <w:r w:rsidR="00D563CE">
        <w:rPr>
          <w:rFonts w:ascii="Times New Roman" w:eastAsia="Times New Roman" w:hAnsi="Times New Roman" w:cs="Times New Roman"/>
          <w:bCs/>
        </w:rPr>
        <w:t xml:space="preserve"> </w:t>
      </w:r>
      <w:r w:rsidRPr="00273902">
        <w:rPr>
          <w:rFonts w:ascii="Times New Roman" w:eastAsia="Times New Roman" w:hAnsi="Times New Roman" w:cs="Times New Roman"/>
          <w:bCs/>
        </w:rPr>
        <w:t>while Section 1202 targets the removal</w:t>
      </w:r>
      <w:r w:rsidR="00F82872">
        <w:rPr>
          <w:rFonts w:ascii="Times New Roman" w:eastAsia="Times New Roman" w:hAnsi="Times New Roman" w:cs="Times New Roman"/>
          <w:bCs/>
        </w:rPr>
        <w:t>, alteration and distribution</w:t>
      </w:r>
      <w:r w:rsidRPr="00273902">
        <w:rPr>
          <w:rFonts w:ascii="Times New Roman" w:eastAsia="Times New Roman" w:hAnsi="Times New Roman" w:cs="Times New Roman"/>
          <w:bCs/>
        </w:rPr>
        <w:t xml:space="preserve"> of copyright</w:t>
      </w:r>
      <w:r w:rsidR="00A02EAB">
        <w:rPr>
          <w:rFonts w:ascii="Times New Roman" w:eastAsia="Times New Roman" w:hAnsi="Times New Roman" w:cs="Times New Roman"/>
          <w:bCs/>
        </w:rPr>
        <w:t xml:space="preserve"> </w:t>
      </w:r>
      <w:r w:rsidRPr="00273902">
        <w:rPr>
          <w:rFonts w:ascii="Times New Roman" w:eastAsia="Times New Roman" w:hAnsi="Times New Roman" w:cs="Times New Roman"/>
          <w:bCs/>
        </w:rPr>
        <w:t>management information (CMI) during ingestion and training.</w:t>
      </w:r>
      <w:r>
        <w:rPr>
          <w:rStyle w:val="FootnoteReference"/>
          <w:rFonts w:ascii="Times New Roman" w:eastAsia="Times New Roman" w:hAnsi="Times New Roman" w:cs="Times New Roman"/>
          <w:bCs/>
        </w:rPr>
        <w:footnoteReference w:id="170"/>
      </w:r>
      <w:r w:rsidRPr="00273902">
        <w:rPr>
          <w:rFonts w:ascii="Times New Roman" w:eastAsia="Times New Roman" w:hAnsi="Times New Roman" w:cs="Times New Roman"/>
          <w:bCs/>
        </w:rPr>
        <w:t xml:space="preserve"> These </w:t>
      </w:r>
      <w:r>
        <w:rPr>
          <w:rFonts w:ascii="Times New Roman" w:eastAsia="Times New Roman" w:hAnsi="Times New Roman" w:cs="Times New Roman"/>
          <w:bCs/>
        </w:rPr>
        <w:t>claims</w:t>
      </w:r>
      <w:r w:rsidRPr="00273902">
        <w:rPr>
          <w:rFonts w:ascii="Times New Roman" w:eastAsia="Times New Roman" w:hAnsi="Times New Roman" w:cs="Times New Roman"/>
          <w:bCs/>
        </w:rPr>
        <w:t xml:space="preserve"> allow courts to reach liability without first deciding fair use or substantial similarity, shifting the fight to access controls, logs, and provenance rather than </w:t>
      </w:r>
      <w:r w:rsidR="00D34A99">
        <w:rPr>
          <w:rFonts w:ascii="Times New Roman" w:eastAsia="Times New Roman" w:hAnsi="Times New Roman" w:cs="Times New Roman"/>
          <w:bCs/>
        </w:rPr>
        <w:t>traditional copyright infringement analysis</w:t>
      </w:r>
      <w:r w:rsidRPr="00273902">
        <w:rPr>
          <w:rFonts w:ascii="Times New Roman" w:eastAsia="Times New Roman" w:hAnsi="Times New Roman" w:cs="Times New Roman"/>
          <w:bCs/>
        </w:rPr>
        <w:t>.</w:t>
      </w:r>
      <w:r w:rsidRPr="00273902">
        <w:rPr>
          <w:rFonts w:ascii="Times New Roman" w:eastAsia="Times New Roman" w:hAnsi="Times New Roman" w:cs="Times New Roman"/>
          <w:bCs/>
          <w:vertAlign w:val="superscript"/>
        </w:rPr>
        <w:footnoteReference w:id="171"/>
      </w:r>
    </w:p>
    <w:p w14:paraId="2907080B" w14:textId="7BB9FB7D" w:rsidR="00CA63AE" w:rsidRDefault="00CA63AE" w:rsidP="00CA63AE">
      <w:pPr>
        <w:spacing w:before="100" w:beforeAutospacing="1" w:after="100" w:afterAutospacing="1" w:line="240" w:lineRule="auto"/>
        <w:rPr>
          <w:rFonts w:ascii="Times New Roman" w:eastAsia="Times New Roman" w:hAnsi="Times New Roman" w:cs="Times New Roman"/>
          <w:bCs/>
        </w:rPr>
      </w:pPr>
      <w:r w:rsidRPr="001C0E38">
        <w:rPr>
          <w:rFonts w:ascii="Times New Roman" w:eastAsia="Times New Roman" w:hAnsi="Times New Roman" w:cs="Times New Roman"/>
          <w:bCs/>
        </w:rPr>
        <w:t>Section 1201</w:t>
      </w:r>
      <w:r w:rsidR="00984398">
        <w:rPr>
          <w:rStyle w:val="FootnoteReference"/>
          <w:rFonts w:ascii="Times New Roman" w:eastAsia="Times New Roman" w:hAnsi="Times New Roman" w:cs="Times New Roman"/>
          <w:bCs/>
        </w:rPr>
        <w:footnoteReference w:id="172"/>
      </w:r>
      <w:r w:rsidRPr="001C0E38">
        <w:rPr>
          <w:rFonts w:ascii="Times New Roman" w:eastAsia="Times New Roman" w:hAnsi="Times New Roman" w:cs="Times New Roman"/>
          <w:bCs/>
        </w:rPr>
        <w:t xml:space="preserve"> prohibits circumventing a technological measure that “effectively controls access” to a work</w:t>
      </w:r>
      <w:r w:rsidR="002305EF">
        <w:rPr>
          <w:rFonts w:ascii="Times New Roman" w:eastAsia="Times New Roman" w:hAnsi="Times New Roman" w:cs="Times New Roman"/>
          <w:bCs/>
        </w:rPr>
        <w:t xml:space="preserve">. While a few of the generative AI cases have pleaded this claim, none have survived motions to dismiss because model training does not usually require circumvention to get to content. </w:t>
      </w:r>
    </w:p>
    <w:p w14:paraId="043A2D25" w14:textId="0A2D4C2A" w:rsidR="00CA63AE" w:rsidRDefault="00984398" w:rsidP="00CA63AE">
      <w:pPr>
        <w:spacing w:before="100" w:beforeAutospacing="1" w:after="100" w:afterAutospacing="1" w:line="240" w:lineRule="auto"/>
        <w:rPr>
          <w:rFonts w:ascii="Times New Roman" w:eastAsia="Times New Roman" w:hAnsi="Times New Roman" w:cs="Times New Roman"/>
          <w:bCs/>
        </w:rPr>
      </w:pPr>
      <w:r w:rsidRPr="001C0E38">
        <w:rPr>
          <w:rFonts w:ascii="Times New Roman" w:eastAsia="Times New Roman" w:hAnsi="Times New Roman" w:cs="Times New Roman"/>
          <w:bCs/>
        </w:rPr>
        <w:t>Section 1202(</w:t>
      </w:r>
      <w:r>
        <w:rPr>
          <w:rFonts w:ascii="Times New Roman" w:eastAsia="Times New Roman" w:hAnsi="Times New Roman" w:cs="Times New Roman"/>
          <w:bCs/>
        </w:rPr>
        <w:t>a</w:t>
      </w:r>
      <w:r w:rsidRPr="001C0E38">
        <w:rPr>
          <w:rFonts w:ascii="Times New Roman" w:eastAsia="Times New Roman" w:hAnsi="Times New Roman" w:cs="Times New Roman"/>
          <w:bCs/>
        </w:rPr>
        <w:t xml:space="preserve">) prohibits </w:t>
      </w:r>
      <w:r>
        <w:rPr>
          <w:rFonts w:ascii="Times New Roman" w:eastAsia="Times New Roman" w:hAnsi="Times New Roman" w:cs="Times New Roman"/>
          <w:bCs/>
        </w:rPr>
        <w:t xml:space="preserve">the </w:t>
      </w:r>
      <w:r w:rsidRPr="001C0E38">
        <w:rPr>
          <w:rFonts w:ascii="Times New Roman" w:eastAsia="Times New Roman" w:hAnsi="Times New Roman" w:cs="Times New Roman"/>
          <w:bCs/>
        </w:rPr>
        <w:t xml:space="preserve">intentional </w:t>
      </w:r>
      <w:r>
        <w:rPr>
          <w:rFonts w:ascii="Times New Roman" w:eastAsia="Times New Roman" w:hAnsi="Times New Roman" w:cs="Times New Roman"/>
          <w:bCs/>
        </w:rPr>
        <w:t xml:space="preserve">provision or distribution of false CMI. </w:t>
      </w:r>
      <w:r w:rsidR="00CA63AE" w:rsidRPr="001C0E38">
        <w:rPr>
          <w:rFonts w:ascii="Times New Roman" w:eastAsia="Times New Roman" w:hAnsi="Times New Roman" w:cs="Times New Roman"/>
          <w:bCs/>
        </w:rPr>
        <w:t xml:space="preserve">1202(b) prohibits </w:t>
      </w:r>
      <w:r>
        <w:rPr>
          <w:rFonts w:ascii="Times New Roman" w:eastAsia="Times New Roman" w:hAnsi="Times New Roman" w:cs="Times New Roman"/>
          <w:bCs/>
        </w:rPr>
        <w:t xml:space="preserve">the </w:t>
      </w:r>
      <w:r w:rsidR="00CA63AE" w:rsidRPr="001C0E38">
        <w:rPr>
          <w:rFonts w:ascii="Times New Roman" w:eastAsia="Times New Roman" w:hAnsi="Times New Roman" w:cs="Times New Roman"/>
          <w:bCs/>
        </w:rPr>
        <w:t xml:space="preserve">intentional removal or alteration of CMI with knowledge (or reasonable grounds to know) </w:t>
      </w:r>
      <w:r w:rsidR="00CA63AE" w:rsidRPr="001C0E38">
        <w:rPr>
          <w:rFonts w:ascii="Times New Roman" w:eastAsia="Times New Roman" w:hAnsi="Times New Roman" w:cs="Times New Roman"/>
          <w:bCs/>
        </w:rPr>
        <w:lastRenderedPageBreak/>
        <w:t>that such removal will enable, induce, facilitate, or conceal infringement.</w:t>
      </w:r>
      <w:r w:rsidR="00CA63AE" w:rsidRPr="00273902">
        <w:rPr>
          <w:vertAlign w:val="superscript"/>
        </w:rPr>
        <w:footnoteReference w:id="173"/>
      </w:r>
      <w:r w:rsidR="00CA63AE" w:rsidRPr="001C0E38">
        <w:rPr>
          <w:rFonts w:ascii="Times New Roman" w:eastAsia="Times New Roman" w:hAnsi="Times New Roman" w:cs="Times New Roman"/>
          <w:bCs/>
        </w:rPr>
        <w:t xml:space="preserve"> </w:t>
      </w:r>
      <w:r w:rsidR="002305EF">
        <w:rPr>
          <w:rFonts w:ascii="Times New Roman" w:eastAsia="Times New Roman" w:hAnsi="Times New Roman" w:cs="Times New Roman"/>
          <w:bCs/>
        </w:rPr>
        <w:t>As we will see, while some</w:t>
      </w:r>
      <w:r w:rsidR="00A02EAB">
        <w:rPr>
          <w:rFonts w:ascii="Times New Roman" w:eastAsia="Times New Roman" w:hAnsi="Times New Roman" w:cs="Times New Roman"/>
          <w:bCs/>
        </w:rPr>
        <w:t xml:space="preserve"> </w:t>
      </w:r>
      <w:r w:rsidR="002305EF">
        <w:rPr>
          <w:rFonts w:ascii="Times New Roman" w:eastAsia="Times New Roman" w:hAnsi="Times New Roman" w:cs="Times New Roman"/>
          <w:bCs/>
        </w:rPr>
        <w:t>S</w:t>
      </w:r>
      <w:r w:rsidR="00A02EAB">
        <w:rPr>
          <w:rFonts w:ascii="Times New Roman" w:eastAsia="Times New Roman" w:hAnsi="Times New Roman" w:cs="Times New Roman"/>
          <w:bCs/>
        </w:rPr>
        <w:t>ection 1</w:t>
      </w:r>
      <w:r w:rsidR="00D20BB1">
        <w:rPr>
          <w:rFonts w:ascii="Times New Roman" w:eastAsia="Times New Roman" w:hAnsi="Times New Roman" w:cs="Times New Roman"/>
          <w:bCs/>
        </w:rPr>
        <w:t>2</w:t>
      </w:r>
      <w:r w:rsidR="00A02EAB">
        <w:rPr>
          <w:rFonts w:ascii="Times New Roman" w:eastAsia="Times New Roman" w:hAnsi="Times New Roman" w:cs="Times New Roman"/>
          <w:bCs/>
        </w:rPr>
        <w:t xml:space="preserve">02(b) </w:t>
      </w:r>
      <w:r w:rsidR="00D20BB1">
        <w:rPr>
          <w:rFonts w:ascii="Times New Roman" w:eastAsia="Times New Roman" w:hAnsi="Times New Roman" w:cs="Times New Roman"/>
          <w:bCs/>
        </w:rPr>
        <w:t>claims</w:t>
      </w:r>
      <w:r w:rsidR="00A02EAB">
        <w:rPr>
          <w:rFonts w:ascii="Times New Roman" w:eastAsia="Times New Roman" w:hAnsi="Times New Roman" w:cs="Times New Roman"/>
          <w:bCs/>
        </w:rPr>
        <w:t xml:space="preserve"> have survived in the generative AI cases, courts have generally required </w:t>
      </w:r>
      <w:r w:rsidR="00CA63AE" w:rsidRPr="00273902">
        <w:rPr>
          <w:rFonts w:ascii="Times New Roman" w:eastAsia="Times New Roman" w:hAnsi="Times New Roman" w:cs="Times New Roman"/>
          <w:bCs/>
        </w:rPr>
        <w:t xml:space="preserve">robust proof of </w:t>
      </w:r>
      <w:r w:rsidR="00D20BB1">
        <w:rPr>
          <w:rFonts w:ascii="Times New Roman" w:eastAsia="Times New Roman" w:hAnsi="Times New Roman" w:cs="Times New Roman"/>
          <w:bCs/>
        </w:rPr>
        <w:t>the “double-scienter” requirement and of the specific facts pleaded</w:t>
      </w:r>
      <w:r w:rsidR="002305EF">
        <w:rPr>
          <w:rFonts w:ascii="Times New Roman" w:eastAsia="Times New Roman" w:hAnsi="Times New Roman" w:cs="Times New Roman"/>
          <w:bCs/>
        </w:rPr>
        <w:t xml:space="preserve"> in order to show a violation under either subsection (1), or (2), or (3).</w:t>
      </w:r>
    </w:p>
    <w:p w14:paraId="29B9759F" w14:textId="1B23CA2C" w:rsidR="00127AA2" w:rsidRDefault="00127AA2" w:rsidP="00D563CE">
      <w:pPr>
        <w:pStyle w:val="Heading4"/>
        <w:spacing w:before="100" w:beforeAutospacing="1" w:after="100" w:afterAutospacing="1" w:line="240" w:lineRule="auto"/>
      </w:pPr>
      <w:bookmarkStart w:id="47" w:name="_Toc220693069"/>
      <w:r>
        <w:t>6</w:t>
      </w:r>
      <w:r w:rsidRPr="00794BB3">
        <w:t xml:space="preserve">. </w:t>
      </w:r>
      <w:r>
        <w:t>Sourcing and Licensing</w:t>
      </w:r>
      <w:bookmarkEnd w:id="47"/>
    </w:p>
    <w:p w14:paraId="400F7576" w14:textId="4EB969D7" w:rsidR="00594F7F" w:rsidRPr="00D563CE" w:rsidRDefault="00D563CE" w:rsidP="00235CB2">
      <w:pPr>
        <w:rPr>
          <w:rFonts w:ascii="Times New Roman" w:eastAsia="Times New Roman" w:hAnsi="Times New Roman" w:cs="Times New Roman"/>
          <w:bCs/>
        </w:rPr>
      </w:pPr>
      <w:r w:rsidRPr="00D563CE">
        <w:rPr>
          <w:rFonts w:ascii="Times New Roman" w:eastAsia="Times New Roman" w:hAnsi="Times New Roman" w:cs="Times New Roman"/>
          <w:bCs/>
        </w:rPr>
        <w:t xml:space="preserve">Another </w:t>
      </w:r>
      <w:r w:rsidR="00CA78DE">
        <w:rPr>
          <w:rFonts w:ascii="Times New Roman" w:eastAsia="Times New Roman" w:hAnsi="Times New Roman" w:cs="Times New Roman"/>
          <w:bCs/>
        </w:rPr>
        <w:t>issue</w:t>
      </w:r>
      <w:r w:rsidRPr="00D563CE">
        <w:rPr>
          <w:rFonts w:ascii="Times New Roman" w:eastAsia="Times New Roman" w:hAnsi="Times New Roman" w:cs="Times New Roman"/>
          <w:bCs/>
        </w:rPr>
        <w:t xml:space="preserve"> that is be</w:t>
      </w:r>
      <w:r w:rsidR="002305EF">
        <w:rPr>
          <w:rFonts w:ascii="Times New Roman" w:eastAsia="Times New Roman" w:hAnsi="Times New Roman" w:cs="Times New Roman"/>
          <w:bCs/>
        </w:rPr>
        <w:t>coming</w:t>
      </w:r>
      <w:r w:rsidR="00B45EF9">
        <w:rPr>
          <w:rFonts w:ascii="Times New Roman" w:eastAsia="Times New Roman" w:hAnsi="Times New Roman" w:cs="Times New Roman"/>
          <w:bCs/>
        </w:rPr>
        <w:t xml:space="preserve"> increasingly litigated</w:t>
      </w:r>
      <w:r w:rsidR="002305EF">
        <w:rPr>
          <w:rFonts w:ascii="Times New Roman" w:eastAsia="Times New Roman" w:hAnsi="Times New Roman" w:cs="Times New Roman"/>
          <w:bCs/>
        </w:rPr>
        <w:t xml:space="preserve"> regards the pr</w:t>
      </w:r>
      <w:r w:rsidRPr="00D563CE">
        <w:rPr>
          <w:rFonts w:ascii="Times New Roman" w:eastAsia="Times New Roman" w:hAnsi="Times New Roman" w:cs="Times New Roman"/>
          <w:bCs/>
        </w:rPr>
        <w:t>ovenance of the source material</w:t>
      </w:r>
      <w:r w:rsidR="00CA78DE">
        <w:rPr>
          <w:rFonts w:ascii="Times New Roman" w:eastAsia="Times New Roman" w:hAnsi="Times New Roman" w:cs="Times New Roman"/>
          <w:bCs/>
        </w:rPr>
        <w:t xml:space="preserve">. In other words, </w:t>
      </w:r>
      <w:r>
        <w:rPr>
          <w:rFonts w:ascii="Times New Roman" w:eastAsia="Times New Roman" w:hAnsi="Times New Roman" w:cs="Times New Roman"/>
          <w:bCs/>
        </w:rPr>
        <w:t xml:space="preserve">has </w:t>
      </w:r>
      <w:r w:rsidR="00235CB2">
        <w:rPr>
          <w:rFonts w:ascii="Times New Roman" w:eastAsia="Times New Roman" w:hAnsi="Times New Roman" w:cs="Times New Roman"/>
          <w:bCs/>
        </w:rPr>
        <w:t>the training material</w:t>
      </w:r>
      <w:r w:rsidRPr="00D563CE">
        <w:rPr>
          <w:rFonts w:ascii="Times New Roman" w:eastAsia="Times New Roman" w:hAnsi="Times New Roman" w:cs="Times New Roman"/>
          <w:bCs/>
        </w:rPr>
        <w:t xml:space="preserve"> been </w:t>
      </w:r>
      <w:r w:rsidR="00235CB2" w:rsidRPr="00D563CE">
        <w:rPr>
          <w:rFonts w:ascii="Times New Roman" w:eastAsia="Times New Roman" w:hAnsi="Times New Roman" w:cs="Times New Roman"/>
          <w:bCs/>
        </w:rPr>
        <w:t>licensed</w:t>
      </w:r>
      <w:r w:rsidRPr="00D563CE">
        <w:rPr>
          <w:rFonts w:ascii="Times New Roman" w:eastAsia="Times New Roman" w:hAnsi="Times New Roman" w:cs="Times New Roman"/>
          <w:bCs/>
        </w:rPr>
        <w:t xml:space="preserve"> or otherwise legally obtained?</w:t>
      </w:r>
      <w:r w:rsidR="00282A5E">
        <w:rPr>
          <w:rStyle w:val="FootnoteReference"/>
          <w:rFonts w:ascii="Times New Roman" w:eastAsia="Times New Roman" w:hAnsi="Times New Roman" w:cs="Times New Roman"/>
          <w:bCs/>
        </w:rPr>
        <w:footnoteReference w:id="174"/>
      </w:r>
      <w:r w:rsidR="00235CB2">
        <w:rPr>
          <w:rFonts w:ascii="Times New Roman" w:eastAsia="Times New Roman" w:hAnsi="Times New Roman" w:cs="Times New Roman"/>
          <w:bCs/>
        </w:rPr>
        <w:t xml:space="preserve"> </w:t>
      </w:r>
      <w:r w:rsidR="00D17433" w:rsidRPr="00D563CE">
        <w:rPr>
          <w:rFonts w:ascii="Times New Roman" w:eastAsia="Times New Roman" w:hAnsi="Times New Roman" w:cs="Times New Roman"/>
          <w:bCs/>
        </w:rPr>
        <w:t xml:space="preserve">As we will see in the sections that follow, </w:t>
      </w:r>
      <w:r w:rsidR="000F15DF" w:rsidRPr="00D563CE">
        <w:rPr>
          <w:rFonts w:ascii="Times New Roman" w:eastAsia="Times New Roman" w:hAnsi="Times New Roman" w:cs="Times New Roman"/>
          <w:bCs/>
        </w:rPr>
        <w:t xml:space="preserve">it appears that </w:t>
      </w:r>
      <w:r w:rsidR="00235CB2">
        <w:rPr>
          <w:rFonts w:ascii="Times New Roman" w:eastAsia="Times New Roman" w:hAnsi="Times New Roman" w:cs="Times New Roman"/>
          <w:bCs/>
        </w:rPr>
        <w:t xml:space="preserve">a new basic building block is being </w:t>
      </w:r>
      <w:r w:rsidR="00583A55">
        <w:rPr>
          <w:rFonts w:ascii="Times New Roman" w:eastAsia="Times New Roman" w:hAnsi="Times New Roman" w:cs="Times New Roman"/>
          <w:bCs/>
        </w:rPr>
        <w:t xml:space="preserve">to emerge in the </w:t>
      </w:r>
      <w:r w:rsidR="00235CB2">
        <w:rPr>
          <w:rFonts w:ascii="Times New Roman" w:eastAsia="Times New Roman" w:hAnsi="Times New Roman" w:cs="Times New Roman"/>
          <w:bCs/>
        </w:rPr>
        <w:t>generative AI cases</w:t>
      </w:r>
      <w:r w:rsidR="00583A55">
        <w:rPr>
          <w:rFonts w:ascii="Times New Roman" w:eastAsia="Times New Roman" w:hAnsi="Times New Roman" w:cs="Times New Roman"/>
          <w:bCs/>
        </w:rPr>
        <w:t>. It is being shaped largely from the</w:t>
      </w:r>
      <w:r w:rsidR="00235CB2">
        <w:rPr>
          <w:rFonts w:ascii="Times New Roman" w:eastAsia="Times New Roman" w:hAnsi="Times New Roman" w:cs="Times New Roman"/>
          <w:bCs/>
        </w:rPr>
        <w:t xml:space="preserve"> traditional</w:t>
      </w:r>
      <w:r w:rsidR="00D17433" w:rsidRPr="00D563CE">
        <w:rPr>
          <w:rFonts w:ascii="Times New Roman" w:eastAsia="Times New Roman" w:hAnsi="Times New Roman" w:cs="Times New Roman"/>
          <w:bCs/>
        </w:rPr>
        <w:t xml:space="preserve"> copyright</w:t>
      </w:r>
      <w:r w:rsidR="00235CB2">
        <w:rPr>
          <w:rFonts w:ascii="Times New Roman" w:eastAsia="Times New Roman" w:hAnsi="Times New Roman" w:cs="Times New Roman"/>
          <w:bCs/>
        </w:rPr>
        <w:t xml:space="preserve"> building blocks</w:t>
      </w:r>
      <w:r w:rsidR="00583A55">
        <w:rPr>
          <w:rFonts w:ascii="Times New Roman" w:eastAsia="Times New Roman" w:hAnsi="Times New Roman" w:cs="Times New Roman"/>
          <w:bCs/>
        </w:rPr>
        <w:t>, including</w:t>
      </w:r>
      <w:r w:rsidR="00235CB2">
        <w:rPr>
          <w:rFonts w:ascii="Times New Roman" w:eastAsia="Times New Roman" w:hAnsi="Times New Roman" w:cs="Times New Roman"/>
          <w:bCs/>
        </w:rPr>
        <w:t xml:space="preserve"> idea and expression, originality and compilations, human authorship, </w:t>
      </w:r>
      <w:r w:rsidR="00D17433" w:rsidRPr="00D563CE">
        <w:rPr>
          <w:rFonts w:ascii="Times New Roman" w:eastAsia="Times New Roman" w:hAnsi="Times New Roman" w:cs="Times New Roman"/>
          <w:bCs/>
        </w:rPr>
        <w:t>substantial similarity</w:t>
      </w:r>
      <w:r w:rsidR="00235CB2">
        <w:rPr>
          <w:rFonts w:ascii="Times New Roman" w:eastAsia="Times New Roman" w:hAnsi="Times New Roman" w:cs="Times New Roman"/>
          <w:bCs/>
        </w:rPr>
        <w:t xml:space="preserve">, fair use, and transformation, </w:t>
      </w:r>
      <w:r w:rsidR="00583A55">
        <w:rPr>
          <w:rFonts w:ascii="Times New Roman" w:eastAsia="Times New Roman" w:hAnsi="Times New Roman" w:cs="Times New Roman"/>
          <w:bCs/>
        </w:rPr>
        <w:t xml:space="preserve">with some assistance from the </w:t>
      </w:r>
      <w:r w:rsidR="00FF748B">
        <w:rPr>
          <w:rFonts w:ascii="Times New Roman" w:eastAsia="Times New Roman" w:hAnsi="Times New Roman" w:cs="Times New Roman"/>
          <w:bCs/>
        </w:rPr>
        <w:t>DMCA</w:t>
      </w:r>
      <w:r w:rsidR="00583A55">
        <w:rPr>
          <w:rFonts w:ascii="Times New Roman" w:eastAsia="Times New Roman" w:hAnsi="Times New Roman" w:cs="Times New Roman"/>
          <w:bCs/>
        </w:rPr>
        <w:t>,</w:t>
      </w:r>
      <w:r w:rsidR="00235CB2">
        <w:rPr>
          <w:rFonts w:ascii="Times New Roman" w:eastAsia="Times New Roman" w:hAnsi="Times New Roman" w:cs="Times New Roman"/>
          <w:bCs/>
        </w:rPr>
        <w:t xml:space="preserve"> and </w:t>
      </w:r>
      <w:r w:rsidR="00583A55">
        <w:rPr>
          <w:rFonts w:ascii="Times New Roman" w:eastAsia="Times New Roman" w:hAnsi="Times New Roman" w:cs="Times New Roman"/>
          <w:bCs/>
        </w:rPr>
        <w:t>from sourcing and licensing issues.</w:t>
      </w:r>
      <w:r w:rsidR="00235CB2">
        <w:rPr>
          <w:rFonts w:ascii="Times New Roman" w:eastAsia="Times New Roman" w:hAnsi="Times New Roman" w:cs="Times New Roman"/>
          <w:bCs/>
        </w:rPr>
        <w:t xml:space="preserve"> Generative AI cases involving images and music will likely </w:t>
      </w:r>
      <w:r w:rsidR="0012237F">
        <w:rPr>
          <w:rFonts w:ascii="Times New Roman" w:eastAsia="Times New Roman" w:hAnsi="Times New Roman" w:cs="Times New Roman"/>
          <w:bCs/>
        </w:rPr>
        <w:t>require</w:t>
      </w:r>
      <w:r w:rsidR="00235CB2">
        <w:rPr>
          <w:rFonts w:ascii="Times New Roman" w:eastAsia="Times New Roman" w:hAnsi="Times New Roman" w:cs="Times New Roman"/>
          <w:bCs/>
        </w:rPr>
        <w:t xml:space="preserve"> </w:t>
      </w:r>
      <w:r w:rsidR="003F497B">
        <w:rPr>
          <w:rFonts w:ascii="Times New Roman" w:eastAsia="Times New Roman" w:hAnsi="Times New Roman" w:cs="Times New Roman"/>
          <w:bCs/>
        </w:rPr>
        <w:t>much</w:t>
      </w:r>
      <w:r w:rsidR="00235CB2">
        <w:rPr>
          <w:rFonts w:ascii="Times New Roman" w:eastAsia="Times New Roman" w:hAnsi="Times New Roman" w:cs="Times New Roman"/>
          <w:bCs/>
        </w:rPr>
        <w:t xml:space="preserve"> </w:t>
      </w:r>
      <w:r w:rsidR="0012237F">
        <w:rPr>
          <w:rFonts w:ascii="Times New Roman" w:eastAsia="Times New Roman" w:hAnsi="Times New Roman" w:cs="Times New Roman"/>
          <w:bCs/>
        </w:rPr>
        <w:t>more guidance f</w:t>
      </w:r>
      <w:r w:rsidR="00235CB2">
        <w:rPr>
          <w:rFonts w:ascii="Times New Roman" w:eastAsia="Times New Roman" w:hAnsi="Times New Roman" w:cs="Times New Roman"/>
          <w:bCs/>
        </w:rPr>
        <w:t>rom (a very confusing set of) right of publicity laws</w:t>
      </w:r>
      <w:r w:rsidR="000F15DF" w:rsidRPr="00D563CE">
        <w:rPr>
          <w:rFonts w:ascii="Times New Roman" w:eastAsia="Times New Roman" w:hAnsi="Times New Roman" w:cs="Times New Roman"/>
          <w:bCs/>
        </w:rPr>
        <w:t>.</w:t>
      </w:r>
    </w:p>
    <w:p w14:paraId="6688CDD5" w14:textId="44F63D4A" w:rsidR="00E55635" w:rsidRDefault="00E55635" w:rsidP="00E556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8" w:name="_Toc220693070"/>
      <w:r>
        <w:rPr>
          <w:rFonts w:ascii="Times New Roman" w:eastAsia="Times New Roman" w:hAnsi="Times New Roman" w:cs="Times New Roman"/>
          <w:b/>
          <w:bCs/>
          <w:kern w:val="0"/>
          <w:sz w:val="27"/>
          <w:szCs w:val="27"/>
          <w14:ligatures w14:val="none"/>
        </w:rPr>
        <w:t>B</w:t>
      </w:r>
      <w:r w:rsidRPr="000445EC">
        <w:rPr>
          <w:rFonts w:ascii="Times New Roman" w:eastAsia="Times New Roman" w:hAnsi="Times New Roman" w:cs="Times New Roman"/>
          <w:b/>
          <w:bCs/>
          <w:kern w:val="0"/>
          <w:sz w:val="27"/>
          <w:szCs w:val="27"/>
          <w14:ligatures w14:val="none"/>
        </w:rPr>
        <w:t>.</w:t>
      </w:r>
      <w:r>
        <w:rPr>
          <w:rFonts w:ascii="Times New Roman" w:eastAsia="Times New Roman" w:hAnsi="Times New Roman" w:cs="Times New Roman"/>
          <w:b/>
          <w:bCs/>
          <w:kern w:val="0"/>
          <w:sz w:val="27"/>
          <w:szCs w:val="27"/>
          <w14:ligatures w14:val="none"/>
        </w:rPr>
        <w:t xml:space="preserve"> The Non-Generative</w:t>
      </w:r>
      <w:r w:rsidR="001F5451">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7"/>
          <w:szCs w:val="27"/>
          <w14:ligatures w14:val="none"/>
        </w:rPr>
        <w:t>AI Cases</w:t>
      </w:r>
      <w:bookmarkEnd w:id="48"/>
    </w:p>
    <w:p w14:paraId="23267D50" w14:textId="2E14AB19" w:rsidR="00E55635" w:rsidRDefault="00E55635" w:rsidP="00E55635">
      <w:pPr>
        <w:rPr>
          <w:rFonts w:ascii="Times New Roman" w:hAnsi="Times New Roman" w:cs="Times New Roman"/>
        </w:rPr>
      </w:pPr>
      <w:r>
        <w:rPr>
          <w:rFonts w:ascii="Times New Roman" w:hAnsi="Times New Roman" w:cs="Times New Roman"/>
        </w:rPr>
        <w:t xml:space="preserve">These first few cases </w:t>
      </w:r>
      <w:r w:rsidR="004E6998">
        <w:rPr>
          <w:rFonts w:ascii="Times New Roman" w:hAnsi="Times New Roman" w:cs="Times New Roman"/>
        </w:rPr>
        <w:t>do not involve generative AI</w:t>
      </w:r>
      <w:r w:rsidR="001F5451">
        <w:rPr>
          <w:rFonts w:ascii="Times New Roman" w:hAnsi="Times New Roman" w:cs="Times New Roman"/>
        </w:rPr>
        <w:t xml:space="preserve"> per se</w:t>
      </w:r>
      <w:r w:rsidR="004E6998">
        <w:rPr>
          <w:rFonts w:ascii="Times New Roman" w:hAnsi="Times New Roman" w:cs="Times New Roman"/>
        </w:rPr>
        <w:t xml:space="preserve">, but the lessons they provide are clearly relevant </w:t>
      </w:r>
      <w:r w:rsidR="001F5451">
        <w:rPr>
          <w:rFonts w:ascii="Times New Roman" w:hAnsi="Times New Roman" w:cs="Times New Roman"/>
        </w:rPr>
        <w:t>to the evolution of the law pertaining to generative</w:t>
      </w:r>
      <w:r w:rsidR="004E6998">
        <w:rPr>
          <w:rFonts w:ascii="Times New Roman" w:hAnsi="Times New Roman" w:cs="Times New Roman"/>
        </w:rPr>
        <w:t xml:space="preserve"> AI.</w:t>
      </w:r>
      <w:r w:rsidR="00951E39">
        <w:rPr>
          <w:rStyle w:val="FootnoteReference"/>
          <w:rFonts w:ascii="Times New Roman" w:hAnsi="Times New Roman" w:cs="Times New Roman"/>
        </w:rPr>
        <w:footnoteReference w:id="175"/>
      </w:r>
      <w:r w:rsidR="004E6998">
        <w:rPr>
          <w:rFonts w:ascii="Times New Roman" w:hAnsi="Times New Roman" w:cs="Times New Roman"/>
        </w:rPr>
        <w:t xml:space="preserve"> </w:t>
      </w:r>
    </w:p>
    <w:p w14:paraId="7E3D82D8" w14:textId="65513789" w:rsidR="004E6998" w:rsidRPr="000445EC" w:rsidRDefault="004E6998" w:rsidP="00720193">
      <w:pPr>
        <w:pStyle w:val="Heading4"/>
        <w:spacing w:before="0" w:after="0" w:line="240" w:lineRule="auto"/>
        <w:rPr>
          <w:rFonts w:eastAsia="Times New Roman"/>
          <w:b/>
          <w:bCs/>
          <w:kern w:val="0"/>
          <w:sz w:val="27"/>
          <w:szCs w:val="27"/>
          <w14:ligatures w14:val="none"/>
        </w:rPr>
      </w:pPr>
      <w:bookmarkStart w:id="49" w:name="_Toc220693071"/>
      <w:r w:rsidRPr="00794BB3">
        <w:t>1.</w:t>
      </w:r>
      <w:r>
        <w:t xml:space="preserve"> Authors Guild v. HathiTrust</w:t>
      </w:r>
      <w:bookmarkEnd w:id="49"/>
    </w:p>
    <w:p w14:paraId="6C9E4DD0" w14:textId="77777777" w:rsidR="00720193" w:rsidRDefault="00720193" w:rsidP="00720193"/>
    <w:p w14:paraId="03207B3F" w14:textId="4C2C1AE1" w:rsidR="00E55635" w:rsidRPr="00720193" w:rsidRDefault="00AD1A4B" w:rsidP="00720193">
      <w:pPr>
        <w:spacing w:after="0" w:line="240" w:lineRule="auto"/>
        <w:rPr>
          <w:rFonts w:ascii="Times New Roman" w:hAnsi="Times New Roman" w:cs="Times New Roman"/>
        </w:rPr>
      </w:pPr>
      <w:r w:rsidRPr="00720193">
        <w:rPr>
          <w:rFonts w:ascii="Times New Roman" w:hAnsi="Times New Roman" w:cs="Times New Roman"/>
        </w:rPr>
        <w:t xml:space="preserve">In 2014 the </w:t>
      </w:r>
      <w:r w:rsidR="005C5EFC" w:rsidRPr="00720193">
        <w:rPr>
          <w:rFonts w:ascii="Times New Roman" w:hAnsi="Times New Roman" w:cs="Times New Roman"/>
        </w:rPr>
        <w:t xml:space="preserve">Second Circuit held, in </w:t>
      </w:r>
      <w:r w:rsidR="005C5EFC" w:rsidRPr="00720193">
        <w:rPr>
          <w:rFonts w:ascii="Times New Roman" w:hAnsi="Times New Roman" w:cs="Times New Roman"/>
          <w:i/>
        </w:rPr>
        <w:t>Authors Guild v. HathiTrust</w:t>
      </w:r>
      <w:r w:rsidR="005C5EFC" w:rsidRPr="00720193">
        <w:rPr>
          <w:rFonts w:ascii="Times New Roman" w:hAnsi="Times New Roman" w:cs="Times New Roman"/>
        </w:rPr>
        <w:t xml:space="preserve">, that a large-scale digitization of copyrighted </w:t>
      </w:r>
      <w:r w:rsidR="007458CA">
        <w:rPr>
          <w:rFonts w:ascii="Times New Roman" w:hAnsi="Times New Roman" w:cs="Times New Roman"/>
        </w:rPr>
        <w:t>books</w:t>
      </w:r>
      <w:r w:rsidR="005C5EFC" w:rsidRPr="00720193">
        <w:rPr>
          <w:rFonts w:ascii="Times New Roman" w:hAnsi="Times New Roman" w:cs="Times New Roman"/>
        </w:rPr>
        <w:t xml:space="preserve"> in order to create a full-text search</w:t>
      </w:r>
      <w:r w:rsidR="007458CA">
        <w:rPr>
          <w:rFonts w:ascii="Times New Roman" w:hAnsi="Times New Roman" w:cs="Times New Roman"/>
        </w:rPr>
        <w:t xml:space="preserve"> engine</w:t>
      </w:r>
      <w:r w:rsidR="005C5EFC" w:rsidRPr="00720193">
        <w:rPr>
          <w:rFonts w:ascii="Times New Roman" w:hAnsi="Times New Roman" w:cs="Times New Roman"/>
        </w:rPr>
        <w:t xml:space="preserve"> of the </w:t>
      </w:r>
      <w:r w:rsidR="007458CA">
        <w:rPr>
          <w:rFonts w:ascii="Times New Roman" w:hAnsi="Times New Roman" w:cs="Times New Roman"/>
        </w:rPr>
        <w:t>books</w:t>
      </w:r>
      <w:r w:rsidR="005C5EFC" w:rsidRPr="00720193">
        <w:rPr>
          <w:rFonts w:ascii="Times New Roman" w:hAnsi="Times New Roman" w:cs="Times New Roman"/>
        </w:rPr>
        <w:t xml:space="preserve"> was a fair use and did </w:t>
      </w:r>
      <w:r w:rsidR="005C5EFC" w:rsidRPr="00720193">
        <w:rPr>
          <w:rFonts w:ascii="Times New Roman" w:hAnsi="Times New Roman" w:cs="Times New Roman"/>
        </w:rPr>
        <w:lastRenderedPageBreak/>
        <w:t>not infringe upon the authors’ copyrights.</w:t>
      </w:r>
      <w:r w:rsidR="00127A70" w:rsidRPr="00720193">
        <w:rPr>
          <w:rStyle w:val="FootnoteReference"/>
          <w:rFonts w:ascii="Times New Roman" w:eastAsia="Times New Roman" w:hAnsi="Times New Roman" w:cs="Times New Roman"/>
          <w:bCs/>
          <w:kern w:val="0"/>
          <w14:ligatures w14:val="none"/>
        </w:rPr>
        <w:footnoteReference w:id="176"/>
      </w:r>
      <w:r w:rsidR="005C5EFC" w:rsidRPr="00720193">
        <w:rPr>
          <w:rFonts w:ascii="Times New Roman" w:hAnsi="Times New Roman" w:cs="Times New Roman"/>
        </w:rPr>
        <w:t xml:space="preserve"> The court focused on the first and fourth fair use factors</w:t>
      </w:r>
      <w:r w:rsidR="00127A70" w:rsidRPr="00720193">
        <w:rPr>
          <w:rFonts w:ascii="Times New Roman" w:hAnsi="Times New Roman" w:cs="Times New Roman"/>
        </w:rPr>
        <w:t xml:space="preserve"> pertaining the full-text search</w:t>
      </w:r>
      <w:r w:rsidR="005C5EFC" w:rsidRPr="00720193">
        <w:rPr>
          <w:rFonts w:ascii="Times New Roman" w:hAnsi="Times New Roman" w:cs="Times New Roman"/>
        </w:rPr>
        <w:t>.</w:t>
      </w:r>
      <w:r w:rsidR="00127A70" w:rsidRPr="00720193">
        <w:rPr>
          <w:rStyle w:val="FootnoteReference"/>
          <w:rFonts w:ascii="Times New Roman" w:eastAsia="Times New Roman" w:hAnsi="Times New Roman" w:cs="Times New Roman"/>
          <w:bCs/>
          <w:kern w:val="0"/>
          <w14:ligatures w14:val="none"/>
        </w:rPr>
        <w:footnoteReference w:id="177"/>
      </w:r>
      <w:r w:rsidR="005C5EFC" w:rsidRPr="00720193">
        <w:rPr>
          <w:rFonts w:ascii="Times New Roman" w:hAnsi="Times New Roman" w:cs="Times New Roman"/>
        </w:rPr>
        <w:t xml:space="preserve"> </w:t>
      </w:r>
      <w:r w:rsidR="00127A70" w:rsidRPr="00720193">
        <w:rPr>
          <w:rFonts w:ascii="Times New Roman" w:hAnsi="Times New Roman" w:cs="Times New Roman"/>
        </w:rPr>
        <w:t>Examining</w:t>
      </w:r>
      <w:r w:rsidR="005C5EFC" w:rsidRPr="00720193">
        <w:rPr>
          <w:rFonts w:ascii="Times New Roman" w:hAnsi="Times New Roman" w:cs="Times New Roman"/>
        </w:rPr>
        <w:t xml:space="preserve"> the first factor, the court quoted from </w:t>
      </w:r>
      <w:r w:rsidR="005C5EFC" w:rsidRPr="007458CA">
        <w:rPr>
          <w:rFonts w:ascii="Times New Roman" w:hAnsi="Times New Roman" w:cs="Times New Roman"/>
          <w:i/>
          <w:iCs/>
        </w:rPr>
        <w:t>Campbell</w:t>
      </w:r>
      <w:r w:rsidR="007458CA">
        <w:rPr>
          <w:rFonts w:ascii="Times New Roman" w:hAnsi="Times New Roman" w:cs="Times New Roman"/>
        </w:rPr>
        <w:t>:</w:t>
      </w:r>
      <w:r w:rsidR="005C5EFC" w:rsidRPr="00720193">
        <w:rPr>
          <w:rFonts w:ascii="Times New Roman" w:hAnsi="Times New Roman" w:cs="Times New Roman"/>
        </w:rPr>
        <w:t xml:space="preserve"> “[T]he more transformative the new work, the less will be the significance of the other factors . . . that may weigh against a finding of fair use”</w:t>
      </w:r>
      <w:r w:rsidR="005C5EFC" w:rsidRPr="00720193">
        <w:rPr>
          <w:rStyle w:val="FootnoteReference"/>
          <w:rFonts w:ascii="Times New Roman" w:eastAsia="Times New Roman" w:hAnsi="Times New Roman" w:cs="Times New Roman"/>
          <w:bCs/>
          <w:kern w:val="0"/>
          <w14:ligatures w14:val="none"/>
        </w:rPr>
        <w:footnoteReference w:id="178"/>
      </w:r>
      <w:r w:rsidR="005C5EFC" w:rsidRPr="00720193">
        <w:rPr>
          <w:rFonts w:ascii="Times New Roman" w:hAnsi="Times New Roman" w:cs="Times New Roman"/>
        </w:rPr>
        <w:t xml:space="preserve"> and held that “ a transformative work is one that serves a and different function from the original work and is not a substitute for it.”</w:t>
      </w:r>
      <w:r w:rsidR="005C5EFC" w:rsidRPr="00720193">
        <w:rPr>
          <w:rStyle w:val="FootnoteReference"/>
          <w:rFonts w:ascii="Times New Roman" w:eastAsia="Times New Roman" w:hAnsi="Times New Roman" w:cs="Times New Roman"/>
          <w:bCs/>
          <w:kern w:val="0"/>
          <w14:ligatures w14:val="none"/>
        </w:rPr>
        <w:footnoteReference w:id="179"/>
      </w:r>
      <w:r w:rsidR="00127A70" w:rsidRPr="00720193">
        <w:rPr>
          <w:rFonts w:ascii="Times New Roman" w:hAnsi="Times New Roman" w:cs="Times New Roman"/>
        </w:rPr>
        <w:t xml:space="preserve"> Regarding the f</w:t>
      </w:r>
      <w:r w:rsidR="007458CA">
        <w:rPr>
          <w:rFonts w:ascii="Times New Roman" w:hAnsi="Times New Roman" w:cs="Times New Roman"/>
        </w:rPr>
        <w:t>ourth</w:t>
      </w:r>
      <w:r w:rsidR="00127A70" w:rsidRPr="00720193">
        <w:rPr>
          <w:rFonts w:ascii="Times New Roman" w:hAnsi="Times New Roman" w:cs="Times New Roman"/>
        </w:rPr>
        <w:t xml:space="preserve"> factor, the court held that the full-text search posed no</w:t>
      </w:r>
      <w:r w:rsidR="000D6BAD" w:rsidRPr="00720193">
        <w:rPr>
          <w:rFonts w:ascii="Times New Roman" w:hAnsi="Times New Roman" w:cs="Times New Roman"/>
        </w:rPr>
        <w:t xml:space="preserve"> “harm to any existing or potential market.”</w:t>
      </w:r>
      <w:r w:rsidR="000D6BAD" w:rsidRPr="00720193">
        <w:rPr>
          <w:rStyle w:val="FootnoteReference"/>
          <w:rFonts w:ascii="Times New Roman" w:eastAsia="Times New Roman" w:hAnsi="Times New Roman" w:cs="Times New Roman"/>
          <w:bCs/>
          <w:kern w:val="0"/>
          <w14:ligatures w14:val="none"/>
        </w:rPr>
        <w:footnoteReference w:id="180"/>
      </w:r>
    </w:p>
    <w:p w14:paraId="4B09CB3D" w14:textId="2086900E" w:rsidR="004E6998" w:rsidRDefault="004E6998" w:rsidP="000D6BAD">
      <w:pPr>
        <w:pStyle w:val="Heading4"/>
        <w:spacing w:before="100" w:beforeAutospacing="1" w:after="100" w:afterAutospacing="1" w:line="240" w:lineRule="auto"/>
      </w:pPr>
      <w:bookmarkStart w:id="50" w:name="_Toc220693072"/>
      <w:r>
        <w:t>2</w:t>
      </w:r>
      <w:r w:rsidRPr="00794BB3">
        <w:t>.</w:t>
      </w:r>
      <w:r>
        <w:t xml:space="preserve"> Authors Guild v. Google, Inc.</w:t>
      </w:r>
      <w:bookmarkEnd w:id="50"/>
    </w:p>
    <w:p w14:paraId="70304F89" w14:textId="77777777" w:rsidR="00F71F8F" w:rsidRDefault="000D6BAD" w:rsidP="00F71F8F">
      <w:pPr>
        <w:spacing w:after="0" w:line="240" w:lineRule="auto"/>
        <w:rPr>
          <w:rFonts w:ascii="Times New Roman" w:hAnsi="Times New Roman" w:cs="Times New Roman"/>
        </w:rPr>
      </w:pPr>
      <w:r w:rsidRPr="000D6BAD">
        <w:rPr>
          <w:rFonts w:ascii="Times New Roman" w:hAnsi="Times New Roman" w:cs="Times New Roman"/>
        </w:rPr>
        <w:t xml:space="preserve">In a case the following year, </w:t>
      </w:r>
      <w:r w:rsidRPr="000D6BAD">
        <w:rPr>
          <w:rFonts w:ascii="Times New Roman" w:hAnsi="Times New Roman" w:cs="Times New Roman"/>
          <w:i/>
        </w:rPr>
        <w:t>Authors Guild v. Google, Inc.</w:t>
      </w:r>
      <w:r w:rsidRPr="000D6BAD">
        <w:rPr>
          <w:rFonts w:ascii="Times New Roman" w:hAnsi="Times New Roman" w:cs="Times New Roman"/>
        </w:rPr>
        <w:t>, the Second Circuit reviewed copyright claims of authors whose books had been copied and digitized as part of the defendant’s Google Books and Google Library Projects</w:t>
      </w:r>
      <w:r>
        <w:rPr>
          <w:rFonts w:ascii="Times New Roman" w:hAnsi="Times New Roman" w:cs="Times New Roman"/>
        </w:rPr>
        <w:t>.</w:t>
      </w:r>
      <w:r>
        <w:rPr>
          <w:rStyle w:val="FootnoteReference"/>
          <w:rFonts w:ascii="Times New Roman" w:hAnsi="Times New Roman" w:cs="Times New Roman"/>
        </w:rPr>
        <w:footnoteReference w:id="181"/>
      </w:r>
      <w:r>
        <w:rPr>
          <w:rFonts w:ascii="Times New Roman" w:hAnsi="Times New Roman" w:cs="Times New Roman"/>
        </w:rPr>
        <w:t xml:space="preserve"> Google had </w:t>
      </w:r>
      <w:r w:rsidR="000432A9">
        <w:rPr>
          <w:rFonts w:ascii="Times New Roman" w:hAnsi="Times New Roman" w:cs="Times New Roman"/>
        </w:rPr>
        <w:t>“</w:t>
      </w:r>
      <w:r>
        <w:rPr>
          <w:rFonts w:ascii="Times New Roman" w:hAnsi="Times New Roman" w:cs="Times New Roman"/>
        </w:rPr>
        <w:t>scanned, rendered machine-readable and</w:t>
      </w:r>
      <w:r w:rsidR="000432A9">
        <w:rPr>
          <w:rFonts w:ascii="Times New Roman" w:hAnsi="Times New Roman" w:cs="Times New Roman"/>
        </w:rPr>
        <w:t xml:space="preserve"> </w:t>
      </w:r>
      <w:r>
        <w:rPr>
          <w:rFonts w:ascii="Times New Roman" w:hAnsi="Times New Roman" w:cs="Times New Roman"/>
        </w:rPr>
        <w:t>indexed more than 20 million books, including both copyrighted works and works in the public domain.”</w:t>
      </w:r>
      <w:r>
        <w:rPr>
          <w:rStyle w:val="FootnoteReference"/>
          <w:rFonts w:ascii="Times New Roman" w:hAnsi="Times New Roman" w:cs="Times New Roman"/>
        </w:rPr>
        <w:footnoteReference w:id="182"/>
      </w:r>
      <w:r w:rsidR="00F71F8F">
        <w:rPr>
          <w:rFonts w:ascii="Times New Roman" w:hAnsi="Times New Roman" w:cs="Times New Roman"/>
        </w:rPr>
        <w:t xml:space="preserve"> Extending </w:t>
      </w:r>
      <w:r w:rsidR="00F71F8F" w:rsidRPr="00F71F8F">
        <w:rPr>
          <w:rFonts w:ascii="Times New Roman" w:hAnsi="Times New Roman" w:cs="Times New Roman"/>
          <w:i/>
        </w:rPr>
        <w:t>HathiTrust</w:t>
      </w:r>
      <w:r w:rsidR="00F71F8F">
        <w:rPr>
          <w:rFonts w:ascii="Times New Roman" w:hAnsi="Times New Roman" w:cs="Times New Roman"/>
        </w:rPr>
        <w:t xml:space="preserve">, the court held that both the search engine (like that in </w:t>
      </w:r>
      <w:r w:rsidR="00F71F8F" w:rsidRPr="00F71F8F">
        <w:rPr>
          <w:rFonts w:ascii="Times New Roman" w:hAnsi="Times New Roman" w:cs="Times New Roman"/>
          <w:i/>
        </w:rPr>
        <w:t>HathiTrust</w:t>
      </w:r>
      <w:r w:rsidR="00F71F8F">
        <w:rPr>
          <w:rFonts w:ascii="Times New Roman" w:hAnsi="Times New Roman" w:cs="Times New Roman"/>
        </w:rPr>
        <w:t xml:space="preserve">), and a “search and snippet view function,” where portions of the text were displayed to users, were fair uses of the plaintiff’s works. Again, relying primarily on factors one and four, the court held that </w:t>
      </w:r>
    </w:p>
    <w:p w14:paraId="1E529ABF" w14:textId="77777777" w:rsidR="00F71F8F" w:rsidRDefault="00F71F8F" w:rsidP="00F71F8F">
      <w:pPr>
        <w:spacing w:after="0" w:line="240" w:lineRule="auto"/>
        <w:rPr>
          <w:rFonts w:ascii="Times New Roman" w:hAnsi="Times New Roman" w:cs="Times New Roman"/>
        </w:rPr>
      </w:pPr>
    </w:p>
    <w:p w14:paraId="1E8FA7AC" w14:textId="6CD83F39" w:rsidR="004E6998" w:rsidRDefault="00F71F8F" w:rsidP="00335C54">
      <w:pPr>
        <w:spacing w:after="0" w:line="240" w:lineRule="auto"/>
        <w:ind w:left="720"/>
      </w:pPr>
      <w:r w:rsidRPr="00F71F8F">
        <w:rPr>
          <w:rFonts w:ascii="Times New Roman" w:hAnsi="Times New Roman" w:cs="Times New Roman"/>
        </w:rPr>
        <w:t>Google's unauthorized</w:t>
      </w:r>
      <w:r>
        <w:rPr>
          <w:rFonts w:ascii="Times New Roman" w:hAnsi="Times New Roman" w:cs="Times New Roman"/>
        </w:rPr>
        <w:t xml:space="preserve"> </w:t>
      </w:r>
      <w:r w:rsidRPr="00F71F8F">
        <w:rPr>
          <w:rFonts w:ascii="Times New Roman" w:hAnsi="Times New Roman" w:cs="Times New Roman"/>
        </w:rPr>
        <w:t>digitizing of copyright-protected works, creation of a search</w:t>
      </w:r>
      <w:r>
        <w:rPr>
          <w:rFonts w:ascii="Times New Roman" w:hAnsi="Times New Roman" w:cs="Times New Roman"/>
        </w:rPr>
        <w:t xml:space="preserve"> </w:t>
      </w:r>
      <w:r w:rsidRPr="00F71F8F">
        <w:rPr>
          <w:rFonts w:ascii="Times New Roman" w:hAnsi="Times New Roman" w:cs="Times New Roman"/>
        </w:rPr>
        <w:t>functionality, and display of snippets from those works are</w:t>
      </w:r>
      <w:r>
        <w:rPr>
          <w:rFonts w:ascii="Times New Roman" w:hAnsi="Times New Roman" w:cs="Times New Roman"/>
        </w:rPr>
        <w:t xml:space="preserve"> </w:t>
      </w:r>
      <w:r w:rsidRPr="00F71F8F">
        <w:rPr>
          <w:rFonts w:ascii="Times New Roman" w:hAnsi="Times New Roman" w:cs="Times New Roman"/>
        </w:rPr>
        <w:t>non-infringing fair uses. The purpose of the copying is highly</w:t>
      </w:r>
      <w:r>
        <w:rPr>
          <w:rFonts w:ascii="Times New Roman" w:hAnsi="Times New Roman" w:cs="Times New Roman"/>
        </w:rPr>
        <w:t xml:space="preserve"> </w:t>
      </w:r>
      <w:r w:rsidRPr="00F71F8F">
        <w:rPr>
          <w:rFonts w:ascii="Times New Roman" w:hAnsi="Times New Roman" w:cs="Times New Roman"/>
        </w:rPr>
        <w:t>transformative, the public display of text is limited, and the</w:t>
      </w:r>
      <w:r>
        <w:rPr>
          <w:rFonts w:ascii="Times New Roman" w:hAnsi="Times New Roman" w:cs="Times New Roman"/>
        </w:rPr>
        <w:t xml:space="preserve"> </w:t>
      </w:r>
      <w:r w:rsidRPr="00F71F8F">
        <w:rPr>
          <w:rFonts w:ascii="Times New Roman" w:hAnsi="Times New Roman" w:cs="Times New Roman"/>
        </w:rPr>
        <w:t>revelations do not provide a significant market substitute for</w:t>
      </w:r>
      <w:r>
        <w:rPr>
          <w:rFonts w:ascii="Times New Roman" w:hAnsi="Times New Roman" w:cs="Times New Roman"/>
        </w:rPr>
        <w:t xml:space="preserve"> </w:t>
      </w:r>
      <w:r w:rsidRPr="00F71F8F">
        <w:rPr>
          <w:rFonts w:ascii="Times New Roman" w:hAnsi="Times New Roman" w:cs="Times New Roman"/>
        </w:rPr>
        <w:t xml:space="preserve">the protected aspects of the </w:t>
      </w:r>
      <w:r>
        <w:rPr>
          <w:rFonts w:ascii="Times New Roman" w:hAnsi="Times New Roman" w:cs="Times New Roman"/>
        </w:rPr>
        <w:t>o</w:t>
      </w:r>
      <w:r w:rsidRPr="00F71F8F">
        <w:rPr>
          <w:rFonts w:ascii="Times New Roman" w:hAnsi="Times New Roman" w:cs="Times New Roman"/>
        </w:rPr>
        <w:t>riginals.</w:t>
      </w:r>
      <w:r>
        <w:rPr>
          <w:rStyle w:val="FootnoteReference"/>
          <w:rFonts w:ascii="Times New Roman" w:hAnsi="Times New Roman" w:cs="Times New Roman"/>
        </w:rPr>
        <w:footnoteReference w:id="183"/>
      </w:r>
    </w:p>
    <w:p w14:paraId="6F4388AF" w14:textId="0CDF9B7C" w:rsidR="00335C54" w:rsidRPr="00335C54" w:rsidRDefault="00335C54" w:rsidP="00335C54">
      <w:pPr>
        <w:spacing w:after="0" w:line="240" w:lineRule="auto"/>
        <w:rPr>
          <w:rFonts w:ascii="Times New Roman" w:hAnsi="Times New Roman" w:cs="Times New Roman"/>
        </w:rPr>
      </w:pPr>
    </w:p>
    <w:p w14:paraId="795CABE6" w14:textId="17A71BBB" w:rsidR="00335C54" w:rsidRPr="00335C54" w:rsidRDefault="00335C54" w:rsidP="00335C54">
      <w:pPr>
        <w:spacing w:after="0" w:line="240" w:lineRule="auto"/>
        <w:rPr>
          <w:rFonts w:ascii="Times New Roman" w:hAnsi="Times New Roman" w:cs="Times New Roman"/>
        </w:rPr>
      </w:pPr>
      <w:r w:rsidRPr="00335C54">
        <w:rPr>
          <w:rFonts w:ascii="Times New Roman" w:hAnsi="Times New Roman" w:cs="Times New Roman"/>
        </w:rPr>
        <w:t>The court further held</w:t>
      </w:r>
      <w:r w:rsidR="00CC1F1B">
        <w:rPr>
          <w:rFonts w:ascii="Times New Roman" w:hAnsi="Times New Roman" w:cs="Times New Roman"/>
        </w:rPr>
        <w:t xml:space="preserve"> that, contrary to plaintiffs’ argument, the snippets created did not amount to derivative works. The court cited </w:t>
      </w:r>
      <w:r w:rsidR="00CC1F1B" w:rsidRPr="009E601C">
        <w:rPr>
          <w:rFonts w:ascii="Times New Roman" w:hAnsi="Times New Roman" w:cs="Times New Roman"/>
          <w:i/>
        </w:rPr>
        <w:t>HathiTrust</w:t>
      </w:r>
      <w:r w:rsidR="00CC1F1B">
        <w:rPr>
          <w:rFonts w:ascii="Times New Roman" w:hAnsi="Times New Roman" w:cs="Times New Roman"/>
        </w:rPr>
        <w:t>, stating that a derivative work is typically a “translation of a novel into another language, the adaptation of a novel into a movie or a play, or the recasting of a novel as an e-book or an audiobook</w:t>
      </w:r>
      <w:r w:rsidR="007458CA">
        <w:rPr>
          <w:rFonts w:ascii="Times New Roman" w:hAnsi="Times New Roman" w:cs="Times New Roman"/>
        </w:rPr>
        <w:t>,</w:t>
      </w:r>
      <w:r w:rsidR="00CC1F1B">
        <w:rPr>
          <w:rFonts w:ascii="Times New Roman" w:hAnsi="Times New Roman" w:cs="Times New Roman"/>
        </w:rPr>
        <w:t>”</w:t>
      </w:r>
      <w:r w:rsidR="007458CA">
        <w:rPr>
          <w:rFonts w:ascii="Times New Roman" w:hAnsi="Times New Roman" w:cs="Times New Roman"/>
        </w:rPr>
        <w:t xml:space="preserve"> rather than a mere </w:t>
      </w:r>
      <w:r w:rsidR="00CF6D2E">
        <w:rPr>
          <w:rFonts w:ascii="Times New Roman" w:hAnsi="Times New Roman" w:cs="Times New Roman"/>
        </w:rPr>
        <w:t>snippet</w:t>
      </w:r>
      <w:r w:rsidR="007458CA">
        <w:rPr>
          <w:rFonts w:ascii="Times New Roman" w:hAnsi="Times New Roman" w:cs="Times New Roman"/>
        </w:rPr>
        <w:t>.</w:t>
      </w:r>
      <w:r w:rsidR="00CC1F1B">
        <w:rPr>
          <w:rStyle w:val="FootnoteReference"/>
          <w:rFonts w:ascii="Times New Roman" w:hAnsi="Times New Roman" w:cs="Times New Roman"/>
        </w:rPr>
        <w:footnoteReference w:id="184"/>
      </w:r>
    </w:p>
    <w:p w14:paraId="77CC636D" w14:textId="3D6EDFB8" w:rsidR="00E86313" w:rsidRPr="000445EC" w:rsidRDefault="00E86313" w:rsidP="000D6BAD">
      <w:pPr>
        <w:pStyle w:val="Heading4"/>
        <w:spacing w:before="100" w:beforeAutospacing="1" w:after="100" w:afterAutospacing="1" w:line="240" w:lineRule="auto"/>
        <w:rPr>
          <w:rFonts w:eastAsia="Times New Roman"/>
          <w:b/>
          <w:bCs/>
          <w:kern w:val="0"/>
          <w:sz w:val="27"/>
          <w:szCs w:val="27"/>
          <w14:ligatures w14:val="none"/>
        </w:rPr>
      </w:pPr>
      <w:bookmarkStart w:id="51" w:name="_Toc220693073"/>
      <w:r>
        <w:t>3</w:t>
      </w:r>
      <w:r w:rsidRPr="00794BB3">
        <w:t>.</w:t>
      </w:r>
      <w:r>
        <w:t xml:space="preserve"> Google LLC v. Oracle America, Inc.</w:t>
      </w:r>
      <w:bookmarkEnd w:id="51"/>
    </w:p>
    <w:p w14:paraId="6F64D91A" w14:textId="2CDBDFD8" w:rsidR="004E6998" w:rsidRDefault="009E601C" w:rsidP="00490D51">
      <w:pPr>
        <w:spacing w:after="0" w:line="240" w:lineRule="auto"/>
        <w:rPr>
          <w:rFonts w:ascii="Times New Roman" w:hAnsi="Times New Roman" w:cs="Times New Roman"/>
        </w:rPr>
      </w:pPr>
      <w:r w:rsidRPr="009E601C">
        <w:rPr>
          <w:rFonts w:ascii="Times New Roman" w:hAnsi="Times New Roman" w:cs="Times New Roman"/>
        </w:rPr>
        <w:t xml:space="preserve">In </w:t>
      </w:r>
      <w:r w:rsidRPr="00067D4C">
        <w:rPr>
          <w:rFonts w:ascii="Times New Roman" w:hAnsi="Times New Roman" w:cs="Times New Roman"/>
          <w:i/>
        </w:rPr>
        <w:t>Google LLC v. Oracle America, Inc</w:t>
      </w:r>
      <w:r>
        <w:rPr>
          <w:rFonts w:ascii="Times New Roman" w:hAnsi="Times New Roman" w:cs="Times New Roman"/>
        </w:rPr>
        <w:t>.</w:t>
      </w:r>
      <w:r w:rsidRPr="009E601C">
        <w:rPr>
          <w:rFonts w:ascii="Times New Roman" w:hAnsi="Times New Roman" w:cs="Times New Roman"/>
        </w:rPr>
        <w:t>,</w:t>
      </w:r>
      <w:r w:rsidR="00331372">
        <w:rPr>
          <w:rStyle w:val="FootnoteReference"/>
          <w:rFonts w:ascii="Times New Roman" w:hAnsi="Times New Roman" w:cs="Times New Roman"/>
        </w:rPr>
        <w:footnoteReference w:id="185"/>
      </w:r>
      <w:r w:rsidRPr="009E601C">
        <w:rPr>
          <w:rFonts w:ascii="Times New Roman" w:hAnsi="Times New Roman" w:cs="Times New Roman"/>
        </w:rPr>
        <w:t xml:space="preserve"> the Supreme Court</w:t>
      </w:r>
      <w:r w:rsidR="00067D4C">
        <w:rPr>
          <w:rFonts w:ascii="Times New Roman" w:hAnsi="Times New Roman" w:cs="Times New Roman"/>
        </w:rPr>
        <w:t xml:space="preserve"> considered whether Google’s copying of a relatively small portion of Oracle’s code, albeit an important part, was fair use. Google was developing the Android software platform using </w:t>
      </w:r>
      <w:r w:rsidR="00071A8E">
        <w:rPr>
          <w:rFonts w:ascii="Times New Roman" w:hAnsi="Times New Roman" w:cs="Times New Roman"/>
        </w:rPr>
        <w:t xml:space="preserve">a very commonly known programming tool called Java. In order to make it easier for the many programmers already familiar with Java, Google copied 37 packages from Oracle’s Sun Java Application </w:t>
      </w:r>
      <w:r w:rsidR="00071A8E">
        <w:rPr>
          <w:rFonts w:ascii="Times New Roman" w:hAnsi="Times New Roman" w:cs="Times New Roman"/>
        </w:rPr>
        <w:lastRenderedPageBreak/>
        <w:t>Programming Interface</w:t>
      </w:r>
      <w:r w:rsidR="007458CA">
        <w:rPr>
          <w:rFonts w:ascii="Times New Roman" w:hAnsi="Times New Roman" w:cs="Times New Roman"/>
        </w:rPr>
        <w:t xml:space="preserve"> (API)</w:t>
      </w:r>
      <w:r w:rsidR="00071A8E">
        <w:rPr>
          <w:rFonts w:ascii="Times New Roman" w:hAnsi="Times New Roman" w:cs="Times New Roman"/>
        </w:rPr>
        <w:t>. Google employed roughly 100 engineers, working for over three years, to generate millions of lines of new code. The Sun Java API code amounted to 2.86 million lines of code. Google copied 37 important packages of code, amount</w:t>
      </w:r>
      <w:r w:rsidR="007458CA">
        <w:rPr>
          <w:rFonts w:ascii="Times New Roman" w:hAnsi="Times New Roman" w:cs="Times New Roman"/>
        </w:rPr>
        <w:t>ing</w:t>
      </w:r>
      <w:r w:rsidR="00071A8E">
        <w:rPr>
          <w:rFonts w:ascii="Times New Roman" w:hAnsi="Times New Roman" w:cs="Times New Roman"/>
        </w:rPr>
        <w:t xml:space="preserve"> to 11,500 lines of code (approximately 0.4 percent of the </w:t>
      </w:r>
      <w:r w:rsidR="007458CA">
        <w:rPr>
          <w:rFonts w:ascii="Times New Roman" w:hAnsi="Times New Roman" w:cs="Times New Roman"/>
        </w:rPr>
        <w:t xml:space="preserve">total </w:t>
      </w:r>
      <w:r w:rsidR="00071A8E">
        <w:rPr>
          <w:rFonts w:ascii="Times New Roman" w:hAnsi="Times New Roman" w:cs="Times New Roman"/>
        </w:rPr>
        <w:t>Sun Java code</w:t>
      </w:r>
      <w:r w:rsidR="007458CA">
        <w:rPr>
          <w:rFonts w:ascii="Times New Roman" w:hAnsi="Times New Roman" w:cs="Times New Roman"/>
        </w:rPr>
        <w:t>)</w:t>
      </w:r>
      <w:r w:rsidR="00071A8E">
        <w:rPr>
          <w:rFonts w:ascii="Times New Roman" w:hAnsi="Times New Roman" w:cs="Times New Roman"/>
        </w:rPr>
        <w:t>.</w:t>
      </w:r>
    </w:p>
    <w:p w14:paraId="42CB20B0" w14:textId="77777777" w:rsidR="006C6E51" w:rsidRDefault="006C6E51" w:rsidP="00490D51">
      <w:pPr>
        <w:spacing w:after="0" w:line="240" w:lineRule="auto"/>
        <w:rPr>
          <w:rFonts w:ascii="Times New Roman" w:hAnsi="Times New Roman" w:cs="Times New Roman"/>
        </w:rPr>
      </w:pPr>
    </w:p>
    <w:p w14:paraId="41DDB139" w14:textId="3BD6994F" w:rsidR="00331372" w:rsidRPr="00331372" w:rsidRDefault="001A6D03" w:rsidP="00490D51">
      <w:pPr>
        <w:spacing w:after="0" w:line="240" w:lineRule="auto"/>
        <w:rPr>
          <w:rFonts w:ascii="Times New Roman" w:hAnsi="Times New Roman" w:cs="Times New Roman"/>
        </w:rPr>
      </w:pPr>
      <w:r>
        <w:rPr>
          <w:rFonts w:ascii="Times New Roman" w:hAnsi="Times New Roman" w:cs="Times New Roman"/>
        </w:rPr>
        <w:t>The Court examin</w:t>
      </w:r>
      <w:r w:rsidR="00331372">
        <w:rPr>
          <w:rFonts w:ascii="Times New Roman" w:hAnsi="Times New Roman" w:cs="Times New Roman"/>
        </w:rPr>
        <w:t>ed the fair use factor</w:t>
      </w:r>
      <w:r w:rsidR="0012237F">
        <w:rPr>
          <w:rFonts w:ascii="Times New Roman" w:hAnsi="Times New Roman" w:cs="Times New Roman"/>
        </w:rPr>
        <w:t xml:space="preserve"> one</w:t>
      </w:r>
      <w:r w:rsidR="00331372">
        <w:rPr>
          <w:rFonts w:ascii="Times New Roman" w:hAnsi="Times New Roman" w:cs="Times New Roman"/>
        </w:rPr>
        <w:t xml:space="preserve"> and explored whether Google’s use “adds something new, with a further purpose or different character, altering” the copyrighted work “with new expression, meaning or messages.”</w:t>
      </w:r>
      <w:r w:rsidR="00331372">
        <w:rPr>
          <w:rStyle w:val="FootnoteReference"/>
          <w:rFonts w:ascii="Times New Roman" w:hAnsi="Times New Roman" w:cs="Times New Roman"/>
        </w:rPr>
        <w:footnoteReference w:id="186"/>
      </w:r>
      <w:r w:rsidR="00331372">
        <w:rPr>
          <w:rFonts w:ascii="Times New Roman" w:hAnsi="Times New Roman" w:cs="Times New Roman"/>
        </w:rPr>
        <w:t xml:space="preserve"> Focusing on functionality, the Court stated that “</w:t>
      </w:r>
      <w:r w:rsidR="00331372" w:rsidRPr="00331372">
        <w:rPr>
          <w:rFonts w:ascii="Times New Roman" w:hAnsi="Times New Roman" w:cs="Times New Roman"/>
        </w:rPr>
        <w:t>Google copied portions of the Sun Java API precisely,</w:t>
      </w:r>
      <w:r w:rsidR="00331372">
        <w:rPr>
          <w:rFonts w:ascii="Times New Roman" w:hAnsi="Times New Roman" w:cs="Times New Roman"/>
        </w:rPr>
        <w:t xml:space="preserve"> </w:t>
      </w:r>
      <w:r w:rsidR="00331372" w:rsidRPr="00331372">
        <w:rPr>
          <w:rFonts w:ascii="Times New Roman" w:hAnsi="Times New Roman" w:cs="Times New Roman"/>
        </w:rPr>
        <w:t>and it did so in part for the same reason that Sun</w:t>
      </w:r>
    </w:p>
    <w:p w14:paraId="56F4AA74" w14:textId="06BF2D7E" w:rsidR="00B14C06" w:rsidRDefault="00331372" w:rsidP="00490D51">
      <w:pPr>
        <w:spacing w:after="0" w:line="240" w:lineRule="auto"/>
        <w:rPr>
          <w:rFonts w:ascii="Times New Roman" w:hAnsi="Times New Roman" w:cs="Times New Roman"/>
        </w:rPr>
      </w:pPr>
      <w:r w:rsidRPr="00331372">
        <w:rPr>
          <w:rFonts w:ascii="Times New Roman" w:hAnsi="Times New Roman" w:cs="Times New Roman"/>
        </w:rPr>
        <w:t>created those portions, namely, to enable programmers</w:t>
      </w:r>
      <w:r>
        <w:rPr>
          <w:rFonts w:ascii="Times New Roman" w:hAnsi="Times New Roman" w:cs="Times New Roman"/>
        </w:rPr>
        <w:t xml:space="preserve"> </w:t>
      </w:r>
      <w:r w:rsidRPr="00331372">
        <w:rPr>
          <w:rFonts w:ascii="Times New Roman" w:hAnsi="Times New Roman" w:cs="Times New Roman"/>
        </w:rPr>
        <w:t>to call up implementing programs that would accomplish</w:t>
      </w:r>
      <w:r>
        <w:rPr>
          <w:rFonts w:ascii="Times New Roman" w:hAnsi="Times New Roman" w:cs="Times New Roman"/>
        </w:rPr>
        <w:t xml:space="preserve"> </w:t>
      </w:r>
      <w:r w:rsidRPr="00331372">
        <w:rPr>
          <w:rFonts w:ascii="Times New Roman" w:hAnsi="Times New Roman" w:cs="Times New Roman"/>
        </w:rPr>
        <w:t>particular tasks.</w:t>
      </w:r>
      <w:r>
        <w:rPr>
          <w:rFonts w:ascii="Times New Roman" w:hAnsi="Times New Roman" w:cs="Times New Roman"/>
        </w:rPr>
        <w:t>”</w:t>
      </w:r>
      <w:r>
        <w:rPr>
          <w:rStyle w:val="FootnoteReference"/>
          <w:rFonts w:ascii="Times New Roman" w:hAnsi="Times New Roman" w:cs="Times New Roman"/>
        </w:rPr>
        <w:footnoteReference w:id="187"/>
      </w:r>
      <w:r>
        <w:rPr>
          <w:rFonts w:ascii="Times New Roman" w:hAnsi="Times New Roman" w:cs="Times New Roman"/>
        </w:rPr>
        <w:t xml:space="preserve"> The Court found that the “purpose and character” of Google’s copying was transformative, and weighed in favor of fair use.</w:t>
      </w:r>
      <w:r>
        <w:rPr>
          <w:rStyle w:val="FootnoteReference"/>
          <w:rFonts w:ascii="Times New Roman" w:hAnsi="Times New Roman" w:cs="Times New Roman"/>
        </w:rPr>
        <w:footnoteReference w:id="188"/>
      </w:r>
    </w:p>
    <w:p w14:paraId="1E8B3254" w14:textId="77777777" w:rsidR="007458CA" w:rsidRPr="009E601C" w:rsidRDefault="007458CA" w:rsidP="00490D51">
      <w:pPr>
        <w:spacing w:after="0" w:line="240" w:lineRule="auto"/>
        <w:rPr>
          <w:rFonts w:ascii="Times New Roman" w:hAnsi="Times New Roman" w:cs="Times New Roman"/>
        </w:rPr>
      </w:pPr>
    </w:p>
    <w:p w14:paraId="6DF37C3F" w14:textId="2FB4A776" w:rsidR="00E86313" w:rsidRDefault="00331372" w:rsidP="00490D51">
      <w:pPr>
        <w:spacing w:after="0" w:line="240" w:lineRule="auto"/>
        <w:rPr>
          <w:rFonts w:ascii="Times New Roman" w:hAnsi="Times New Roman" w:cs="Times New Roman"/>
        </w:rPr>
      </w:pPr>
      <w:r>
        <w:rPr>
          <w:rFonts w:ascii="Times New Roman" w:hAnsi="Times New Roman" w:cs="Times New Roman"/>
        </w:rPr>
        <w:t xml:space="preserve">The Court also examined factor three, the amount and substantiality of the portion used. </w:t>
      </w:r>
      <w:r w:rsidR="00871247">
        <w:rPr>
          <w:rFonts w:ascii="Times New Roman" w:hAnsi="Times New Roman" w:cs="Times New Roman"/>
        </w:rPr>
        <w:t>While the Court recognized that even a small amount of copying may fall outside of the scope of fair use where the excerpt copied consists of the ‘heart’ of the original work’s creative expression,” it held that Google’s purpose in copying those lines was not because of their beauty or creativity, but rather, because of their function – to make it easier for Java programmers to code on the new platform.</w:t>
      </w:r>
      <w:r w:rsidR="00871247">
        <w:rPr>
          <w:rStyle w:val="FootnoteReference"/>
          <w:rFonts w:ascii="Times New Roman" w:hAnsi="Times New Roman" w:cs="Times New Roman"/>
        </w:rPr>
        <w:footnoteReference w:id="189"/>
      </w:r>
      <w:r w:rsidR="00871247">
        <w:rPr>
          <w:rFonts w:ascii="Times New Roman" w:hAnsi="Times New Roman" w:cs="Times New Roman"/>
        </w:rPr>
        <w:t xml:space="preserve"> The court found factor three in favor of fair use.</w:t>
      </w:r>
    </w:p>
    <w:p w14:paraId="11028FBB" w14:textId="77777777" w:rsidR="006C6E51" w:rsidRDefault="006C6E51" w:rsidP="00490D51">
      <w:pPr>
        <w:spacing w:after="0" w:line="240" w:lineRule="auto"/>
        <w:rPr>
          <w:rFonts w:ascii="Times New Roman" w:hAnsi="Times New Roman" w:cs="Times New Roman"/>
        </w:rPr>
      </w:pPr>
    </w:p>
    <w:p w14:paraId="40892000" w14:textId="2103EA2C" w:rsidR="000A1060" w:rsidRPr="009E601C" w:rsidRDefault="00FE2405" w:rsidP="00490D51">
      <w:pPr>
        <w:spacing w:after="0" w:line="240" w:lineRule="auto"/>
        <w:rPr>
          <w:rFonts w:ascii="Times New Roman" w:hAnsi="Times New Roman" w:cs="Times New Roman"/>
        </w:rPr>
      </w:pPr>
      <w:r>
        <w:rPr>
          <w:rFonts w:ascii="Times New Roman" w:hAnsi="Times New Roman" w:cs="Times New Roman"/>
        </w:rPr>
        <w:t>Regarding the fourth factor, the Court relied on evidence from Google’s economic expert that Android was not a market substitute for Java’s software and that the two were very different products, and found that factor four also favored fair use.</w:t>
      </w:r>
      <w:r w:rsidR="003A12BD">
        <w:rPr>
          <w:rStyle w:val="FootnoteReference"/>
          <w:rFonts w:ascii="Times New Roman" w:hAnsi="Times New Roman" w:cs="Times New Roman"/>
        </w:rPr>
        <w:footnoteReference w:id="190"/>
      </w:r>
    </w:p>
    <w:p w14:paraId="43F58800" w14:textId="6BA6A2B2" w:rsidR="00E86313" w:rsidRPr="000445EC" w:rsidRDefault="00E86313" w:rsidP="000D6BAD">
      <w:pPr>
        <w:pStyle w:val="Heading4"/>
        <w:spacing w:before="100" w:beforeAutospacing="1" w:after="100" w:afterAutospacing="1" w:line="240" w:lineRule="auto"/>
        <w:rPr>
          <w:rFonts w:eastAsia="Times New Roman"/>
          <w:b/>
          <w:bCs/>
          <w:kern w:val="0"/>
          <w:sz w:val="27"/>
          <w:szCs w:val="27"/>
          <w14:ligatures w14:val="none"/>
        </w:rPr>
      </w:pPr>
      <w:bookmarkStart w:id="52" w:name="_Toc220693074"/>
      <w:r>
        <w:t>4</w:t>
      </w:r>
      <w:r w:rsidRPr="00794BB3">
        <w:t>.</w:t>
      </w:r>
      <w:r>
        <w:t xml:space="preserve"> Thomson Reuters v. Ross Intelligence, Inc.</w:t>
      </w:r>
      <w:bookmarkEnd w:id="52"/>
    </w:p>
    <w:p w14:paraId="76F22EAD" w14:textId="0772FBAC" w:rsidR="00E86313" w:rsidRDefault="00613BEE" w:rsidP="00490D51">
      <w:pPr>
        <w:spacing w:after="0" w:line="240" w:lineRule="auto"/>
        <w:rPr>
          <w:rFonts w:ascii="Times New Roman" w:hAnsi="Times New Roman" w:cs="Times New Roman"/>
        </w:rPr>
      </w:pPr>
      <w:r w:rsidRPr="00392DEE">
        <w:rPr>
          <w:rFonts w:ascii="Times New Roman" w:hAnsi="Times New Roman" w:cs="Times New Roman"/>
        </w:rPr>
        <w:t>In</w:t>
      </w:r>
      <w:r w:rsidR="00604E62">
        <w:rPr>
          <w:rFonts w:ascii="Times New Roman" w:hAnsi="Times New Roman" w:cs="Times New Roman"/>
        </w:rPr>
        <w:t xml:space="preserve"> </w:t>
      </w:r>
      <w:r w:rsidR="00604E62" w:rsidRPr="00604E62">
        <w:rPr>
          <w:rFonts w:ascii="Times New Roman" w:hAnsi="Times New Roman" w:cs="Times New Roman"/>
          <w:i/>
          <w:iCs/>
        </w:rPr>
        <w:t>Thomson Reuters v. Ross Intelligence</w:t>
      </w:r>
      <w:r w:rsidR="00604E62">
        <w:rPr>
          <w:rFonts w:ascii="Times New Roman" w:hAnsi="Times New Roman" w:cs="Times New Roman"/>
        </w:rPr>
        <w:t xml:space="preserve">, </w:t>
      </w:r>
      <w:r w:rsidRPr="00392DEE">
        <w:rPr>
          <w:rFonts w:ascii="Times New Roman" w:hAnsi="Times New Roman" w:cs="Times New Roman"/>
        </w:rPr>
        <w:t xml:space="preserve">one of the earlier cases involving </w:t>
      </w:r>
      <w:r w:rsidR="001331C8" w:rsidRPr="00392DEE">
        <w:rPr>
          <w:rFonts w:ascii="Times New Roman" w:hAnsi="Times New Roman" w:cs="Times New Roman"/>
        </w:rPr>
        <w:t>non-generative AI, the District Court for the District</w:t>
      </w:r>
      <w:r w:rsidR="00CF6D2E">
        <w:rPr>
          <w:rFonts w:ascii="Times New Roman" w:hAnsi="Times New Roman" w:cs="Times New Roman"/>
        </w:rPr>
        <w:t xml:space="preserve"> of</w:t>
      </w:r>
      <w:r w:rsidR="001331C8" w:rsidRPr="00392DEE">
        <w:rPr>
          <w:rFonts w:ascii="Times New Roman" w:hAnsi="Times New Roman" w:cs="Times New Roman"/>
        </w:rPr>
        <w:t xml:space="preserve"> Delaware, </w:t>
      </w:r>
      <w:r w:rsidR="00392DEE">
        <w:rPr>
          <w:rFonts w:ascii="Times New Roman" w:hAnsi="Times New Roman" w:cs="Times New Roman"/>
        </w:rPr>
        <w:t xml:space="preserve">revised a motion for </w:t>
      </w:r>
      <w:r w:rsidR="001331C8" w:rsidRPr="00392DEE">
        <w:rPr>
          <w:rFonts w:ascii="Times New Roman" w:hAnsi="Times New Roman" w:cs="Times New Roman"/>
        </w:rPr>
        <w:t>summary judgment in February 2025</w:t>
      </w:r>
      <w:r w:rsidR="00392DEE">
        <w:rPr>
          <w:rFonts w:ascii="Times New Roman" w:hAnsi="Times New Roman" w:cs="Times New Roman"/>
        </w:rPr>
        <w:t>, granting much of the motion</w:t>
      </w:r>
      <w:r w:rsidR="007458CA">
        <w:rPr>
          <w:rFonts w:ascii="Times New Roman" w:hAnsi="Times New Roman" w:cs="Times New Roman"/>
        </w:rPr>
        <w:t>,</w:t>
      </w:r>
      <w:r w:rsidR="00392DEE">
        <w:rPr>
          <w:rFonts w:ascii="Times New Roman" w:hAnsi="Times New Roman" w:cs="Times New Roman"/>
        </w:rPr>
        <w:t xml:space="preserve"> regarding copyright infringement and fair use,</w:t>
      </w:r>
      <w:r w:rsidR="001331C8" w:rsidRPr="00392DEE">
        <w:rPr>
          <w:rFonts w:ascii="Times New Roman" w:hAnsi="Times New Roman" w:cs="Times New Roman"/>
        </w:rPr>
        <w:t xml:space="preserve"> </w:t>
      </w:r>
      <w:r w:rsidR="007458CA">
        <w:rPr>
          <w:rFonts w:ascii="Times New Roman" w:hAnsi="Times New Roman" w:cs="Times New Roman"/>
        </w:rPr>
        <w:t xml:space="preserve">that it had previously denied </w:t>
      </w:r>
      <w:r w:rsidR="001331C8" w:rsidRPr="00392DEE">
        <w:rPr>
          <w:rFonts w:ascii="Times New Roman" w:hAnsi="Times New Roman" w:cs="Times New Roman"/>
        </w:rPr>
        <w:t>in 2023</w:t>
      </w:r>
      <w:r w:rsidR="00392DEE">
        <w:rPr>
          <w:rFonts w:ascii="Times New Roman" w:hAnsi="Times New Roman" w:cs="Times New Roman"/>
        </w:rPr>
        <w:t>.</w:t>
      </w:r>
      <w:r w:rsidR="00420491">
        <w:rPr>
          <w:rStyle w:val="FootnoteReference"/>
          <w:rFonts w:ascii="Times New Roman" w:hAnsi="Times New Roman" w:cs="Times New Roman"/>
        </w:rPr>
        <w:footnoteReference w:id="191"/>
      </w:r>
      <w:r w:rsidR="00392DEE">
        <w:rPr>
          <w:rFonts w:ascii="Times New Roman" w:hAnsi="Times New Roman" w:cs="Times New Roman"/>
        </w:rPr>
        <w:t xml:space="preserve"> </w:t>
      </w:r>
      <w:r w:rsidR="007458CA">
        <w:rPr>
          <w:rFonts w:ascii="Times New Roman" w:hAnsi="Times New Roman" w:cs="Times New Roman"/>
        </w:rPr>
        <w:t>The decision</w:t>
      </w:r>
      <w:r w:rsidR="00392DEE">
        <w:rPr>
          <w:rFonts w:ascii="Times New Roman" w:hAnsi="Times New Roman" w:cs="Times New Roman"/>
        </w:rPr>
        <w:t xml:space="preserve"> provide</w:t>
      </w:r>
      <w:r w:rsidR="00E03168">
        <w:rPr>
          <w:rFonts w:ascii="Times New Roman" w:hAnsi="Times New Roman" w:cs="Times New Roman"/>
        </w:rPr>
        <w:t>d</w:t>
      </w:r>
      <w:r w:rsidR="00392DEE">
        <w:rPr>
          <w:rFonts w:ascii="Times New Roman" w:hAnsi="Times New Roman" w:cs="Times New Roman"/>
        </w:rPr>
        <w:t xml:space="preserve"> a rare victory for a content holder. In the case, the now-defunct defendant was creating a legal research search engine. In order to do so, it needed a database of legal material. It attempted to license some content from Westlaw (a product of the plaintiff), but was denied because defendant was a competitor. Instead, defendant licensed some legal content from a third party, but that material was built, in part, on Westlaw headnotes. When defendant learned of this, it sued defendant for copyright infringement.</w:t>
      </w:r>
    </w:p>
    <w:p w14:paraId="5A2713AA" w14:textId="77777777" w:rsidR="00490D51" w:rsidRPr="00392DEE" w:rsidRDefault="00490D51" w:rsidP="00490D51">
      <w:pPr>
        <w:spacing w:after="0" w:line="240" w:lineRule="auto"/>
        <w:rPr>
          <w:rFonts w:ascii="Times New Roman" w:hAnsi="Times New Roman" w:cs="Times New Roman"/>
        </w:rPr>
      </w:pPr>
    </w:p>
    <w:p w14:paraId="4C9A9C0D" w14:textId="211DBA1E" w:rsidR="00905032" w:rsidRDefault="000E29F2" w:rsidP="00490D51">
      <w:pPr>
        <w:spacing w:after="0" w:line="240" w:lineRule="auto"/>
        <w:rPr>
          <w:rFonts w:ascii="Times New Roman" w:hAnsi="Times New Roman" w:cs="Times New Roman"/>
        </w:rPr>
      </w:pPr>
      <w:r w:rsidRPr="00905032">
        <w:rPr>
          <w:rFonts w:ascii="Times New Roman" w:hAnsi="Times New Roman" w:cs="Times New Roman"/>
        </w:rPr>
        <w:t xml:space="preserve">In 2023, the court denied plaintiff’s motion for summary judgment on copyright infringement and </w:t>
      </w:r>
      <w:r w:rsidR="00905032" w:rsidRPr="00905032">
        <w:rPr>
          <w:rFonts w:ascii="Times New Roman" w:hAnsi="Times New Roman" w:cs="Times New Roman"/>
        </w:rPr>
        <w:t>on defendant’s fair use defense.</w:t>
      </w:r>
      <w:r w:rsidR="00617F0B">
        <w:rPr>
          <w:rStyle w:val="FootnoteReference"/>
          <w:rFonts w:ascii="Times New Roman" w:hAnsi="Times New Roman" w:cs="Times New Roman"/>
        </w:rPr>
        <w:footnoteReference w:id="192"/>
      </w:r>
      <w:r w:rsidR="00905032" w:rsidRPr="00905032">
        <w:rPr>
          <w:rFonts w:ascii="Times New Roman" w:hAnsi="Times New Roman" w:cs="Times New Roman"/>
        </w:rPr>
        <w:t xml:space="preserve"> </w:t>
      </w:r>
      <w:r w:rsidR="00905032">
        <w:rPr>
          <w:rFonts w:ascii="Times New Roman" w:hAnsi="Times New Roman" w:cs="Times New Roman"/>
        </w:rPr>
        <w:t xml:space="preserve">The judge, in his 2025 decision, states that he was simply </w:t>
      </w:r>
      <w:r w:rsidR="00905032">
        <w:rPr>
          <w:rFonts w:ascii="Times New Roman" w:hAnsi="Times New Roman" w:cs="Times New Roman"/>
        </w:rPr>
        <w:lastRenderedPageBreak/>
        <w:t>wrong the first time around.</w:t>
      </w:r>
      <w:r w:rsidR="00617F0B">
        <w:rPr>
          <w:rStyle w:val="FootnoteReference"/>
          <w:rFonts w:ascii="Times New Roman" w:hAnsi="Times New Roman" w:cs="Times New Roman"/>
        </w:rPr>
        <w:footnoteReference w:id="193"/>
      </w:r>
      <w:r w:rsidR="00905032">
        <w:rPr>
          <w:rFonts w:ascii="Times New Roman" w:hAnsi="Times New Roman" w:cs="Times New Roman"/>
        </w:rPr>
        <w:t xml:space="preserve"> This time, he granted summary judgment for most of the headnotes on the issues of actual copying and substantial similarity.</w:t>
      </w:r>
      <w:r w:rsidR="00EE740D">
        <w:rPr>
          <w:rStyle w:val="FootnoteReference"/>
          <w:rFonts w:ascii="Times New Roman" w:hAnsi="Times New Roman" w:cs="Times New Roman"/>
        </w:rPr>
        <w:footnoteReference w:id="194"/>
      </w:r>
      <w:r w:rsidR="00905032">
        <w:rPr>
          <w:rFonts w:ascii="Times New Roman" w:hAnsi="Times New Roman" w:cs="Times New Roman"/>
        </w:rPr>
        <w:t xml:space="preserve"> He also granted summary judgment on the question of fair use, finding that factors two and three weighed in favor of the defendant, but that factors one and four weighed in favor of the plaintiff.</w:t>
      </w:r>
      <w:r w:rsidR="001749C4">
        <w:rPr>
          <w:rStyle w:val="FootnoteReference"/>
          <w:rFonts w:ascii="Times New Roman" w:hAnsi="Times New Roman" w:cs="Times New Roman"/>
        </w:rPr>
        <w:footnoteReference w:id="195"/>
      </w:r>
    </w:p>
    <w:p w14:paraId="77618DE3" w14:textId="77777777" w:rsidR="00490D51" w:rsidRDefault="00490D51" w:rsidP="00490D51">
      <w:pPr>
        <w:spacing w:after="0" w:line="240" w:lineRule="auto"/>
        <w:rPr>
          <w:rFonts w:ascii="Times New Roman" w:hAnsi="Times New Roman" w:cs="Times New Roman"/>
        </w:rPr>
      </w:pPr>
    </w:p>
    <w:p w14:paraId="19745ECA" w14:textId="62E48EAC" w:rsidR="00420491" w:rsidRDefault="00905032" w:rsidP="00490D51">
      <w:pPr>
        <w:spacing w:after="0" w:line="240" w:lineRule="auto"/>
        <w:rPr>
          <w:rFonts w:ascii="Times New Roman" w:hAnsi="Times New Roman" w:cs="Times New Roman"/>
        </w:rPr>
      </w:pPr>
      <w:r>
        <w:rPr>
          <w:rFonts w:ascii="Times New Roman" w:hAnsi="Times New Roman" w:cs="Times New Roman"/>
        </w:rPr>
        <w:t>On factor one, the court found in favor of the plaintiff because the defendant’s use is commercial and is not transformative.</w:t>
      </w:r>
      <w:r w:rsidR="001749C4">
        <w:rPr>
          <w:rStyle w:val="FootnoteReference"/>
          <w:rFonts w:ascii="Times New Roman" w:hAnsi="Times New Roman" w:cs="Times New Roman"/>
        </w:rPr>
        <w:footnoteReference w:id="196"/>
      </w:r>
      <w:r>
        <w:rPr>
          <w:rFonts w:ascii="Times New Roman" w:hAnsi="Times New Roman" w:cs="Times New Roman"/>
        </w:rPr>
        <w:t xml:space="preserve"> Relying on the </w:t>
      </w:r>
      <w:r w:rsidRPr="00905032">
        <w:rPr>
          <w:rFonts w:ascii="Times New Roman" w:hAnsi="Times New Roman" w:cs="Times New Roman"/>
          <w:i/>
        </w:rPr>
        <w:t>Warhol</w:t>
      </w:r>
      <w:r>
        <w:rPr>
          <w:rFonts w:ascii="Times New Roman" w:hAnsi="Times New Roman" w:cs="Times New Roman"/>
        </w:rPr>
        <w:t xml:space="preserve"> case, the court stated that defendant’s use is not transformative because it does not have a “further purpose or different character” than </w:t>
      </w:r>
      <w:r w:rsidR="00D55A32">
        <w:rPr>
          <w:rFonts w:ascii="Times New Roman" w:hAnsi="Times New Roman" w:cs="Times New Roman"/>
        </w:rPr>
        <w:t xml:space="preserve">that of </w:t>
      </w:r>
      <w:r w:rsidR="00420491">
        <w:rPr>
          <w:rFonts w:ascii="Times New Roman" w:hAnsi="Times New Roman" w:cs="Times New Roman"/>
        </w:rPr>
        <w:t xml:space="preserve">the </w:t>
      </w:r>
      <w:r>
        <w:rPr>
          <w:rFonts w:ascii="Times New Roman" w:hAnsi="Times New Roman" w:cs="Times New Roman"/>
        </w:rPr>
        <w:t>plaintiff.</w:t>
      </w:r>
      <w:r w:rsidR="001749C4">
        <w:rPr>
          <w:rStyle w:val="FootnoteReference"/>
          <w:rFonts w:ascii="Times New Roman" w:hAnsi="Times New Roman" w:cs="Times New Roman"/>
        </w:rPr>
        <w:footnoteReference w:id="197"/>
      </w:r>
      <w:r w:rsidR="00420491">
        <w:rPr>
          <w:rFonts w:ascii="Times New Roman" w:hAnsi="Times New Roman" w:cs="Times New Roman"/>
        </w:rPr>
        <w:t xml:space="preserve"> The court stated that its previous denial of summary judgment on this matter was influenced too much by the old </w:t>
      </w:r>
      <w:r w:rsidR="00420491" w:rsidRPr="00420491">
        <w:rPr>
          <w:rFonts w:ascii="Times New Roman" w:hAnsi="Times New Roman" w:cs="Times New Roman"/>
          <w:i/>
        </w:rPr>
        <w:t>S</w:t>
      </w:r>
      <w:r w:rsidR="00DA62EB">
        <w:rPr>
          <w:rFonts w:ascii="Times New Roman" w:hAnsi="Times New Roman" w:cs="Times New Roman"/>
          <w:i/>
        </w:rPr>
        <w:t>ega</w:t>
      </w:r>
      <w:r w:rsidR="00420491">
        <w:rPr>
          <w:rFonts w:ascii="Times New Roman" w:hAnsi="Times New Roman" w:cs="Times New Roman"/>
        </w:rPr>
        <w:t xml:space="preserve"> and </w:t>
      </w:r>
      <w:r w:rsidR="00420491" w:rsidRPr="00420491">
        <w:rPr>
          <w:rFonts w:ascii="Times New Roman" w:hAnsi="Times New Roman" w:cs="Times New Roman"/>
          <w:i/>
        </w:rPr>
        <w:t>S</w:t>
      </w:r>
      <w:r w:rsidR="00DA62EB">
        <w:rPr>
          <w:rFonts w:ascii="Times New Roman" w:hAnsi="Times New Roman" w:cs="Times New Roman"/>
          <w:i/>
        </w:rPr>
        <w:t>ony</w:t>
      </w:r>
      <w:r w:rsidR="00420491">
        <w:rPr>
          <w:rFonts w:ascii="Times New Roman" w:hAnsi="Times New Roman" w:cs="Times New Roman"/>
        </w:rPr>
        <w:t xml:space="preserve"> computer cases.</w:t>
      </w:r>
      <w:r w:rsidR="00D55A32">
        <w:rPr>
          <w:rStyle w:val="FootnoteReference"/>
          <w:rFonts w:ascii="Times New Roman" w:hAnsi="Times New Roman" w:cs="Times New Roman"/>
        </w:rPr>
        <w:footnoteReference w:id="198"/>
      </w:r>
      <w:r w:rsidR="00420491">
        <w:rPr>
          <w:rFonts w:ascii="Times New Roman" w:hAnsi="Times New Roman" w:cs="Times New Roman"/>
        </w:rPr>
        <w:t xml:space="preserve"> The court believe</w:t>
      </w:r>
      <w:r w:rsidR="00DA62EB">
        <w:rPr>
          <w:rFonts w:ascii="Times New Roman" w:hAnsi="Times New Roman" w:cs="Times New Roman"/>
        </w:rPr>
        <w:t>d</w:t>
      </w:r>
      <w:r w:rsidR="00420491">
        <w:rPr>
          <w:rFonts w:ascii="Times New Roman" w:hAnsi="Times New Roman" w:cs="Times New Roman"/>
        </w:rPr>
        <w:t xml:space="preserve"> that this </w:t>
      </w:r>
      <w:r w:rsidR="00D55A32">
        <w:rPr>
          <w:rFonts w:ascii="Times New Roman" w:hAnsi="Times New Roman" w:cs="Times New Roman"/>
        </w:rPr>
        <w:t xml:space="preserve">revised </w:t>
      </w:r>
      <w:r w:rsidR="00420491">
        <w:rPr>
          <w:rFonts w:ascii="Times New Roman" w:hAnsi="Times New Roman" w:cs="Times New Roman"/>
        </w:rPr>
        <w:t xml:space="preserve">decision </w:t>
      </w:r>
      <w:r w:rsidR="00D55A32">
        <w:rPr>
          <w:rFonts w:ascii="Times New Roman" w:hAnsi="Times New Roman" w:cs="Times New Roman"/>
        </w:rPr>
        <w:t xml:space="preserve">fit </w:t>
      </w:r>
      <w:r w:rsidR="00420491">
        <w:rPr>
          <w:rFonts w:ascii="Times New Roman" w:hAnsi="Times New Roman" w:cs="Times New Roman"/>
        </w:rPr>
        <w:t xml:space="preserve">more neatly into the newer framework advanced in </w:t>
      </w:r>
      <w:r w:rsidR="00420491" w:rsidRPr="00420491">
        <w:rPr>
          <w:rFonts w:ascii="Times New Roman" w:hAnsi="Times New Roman" w:cs="Times New Roman"/>
          <w:i/>
        </w:rPr>
        <w:t>Warhol</w:t>
      </w:r>
      <w:r w:rsidR="00420491">
        <w:rPr>
          <w:rFonts w:ascii="Times New Roman" w:hAnsi="Times New Roman" w:cs="Times New Roman"/>
        </w:rPr>
        <w:t>.</w:t>
      </w:r>
      <w:r w:rsidR="00E75A3D">
        <w:rPr>
          <w:rStyle w:val="FootnoteReference"/>
          <w:rFonts w:ascii="Times New Roman" w:hAnsi="Times New Roman" w:cs="Times New Roman"/>
        </w:rPr>
        <w:footnoteReference w:id="199"/>
      </w:r>
      <w:r w:rsidR="00420491">
        <w:rPr>
          <w:rFonts w:ascii="Times New Roman" w:hAnsi="Times New Roman" w:cs="Times New Roman"/>
        </w:rPr>
        <w:t xml:space="preserve"> The court also found factor four in favor of the plaintiff because defendant’s product was to be a competing product </w:t>
      </w:r>
      <w:r w:rsidR="00D55A32">
        <w:rPr>
          <w:rFonts w:ascii="Times New Roman" w:hAnsi="Times New Roman" w:cs="Times New Roman"/>
        </w:rPr>
        <w:t xml:space="preserve">of Westlaw </w:t>
      </w:r>
      <w:r w:rsidR="00420491">
        <w:rPr>
          <w:rFonts w:ascii="Times New Roman" w:hAnsi="Times New Roman" w:cs="Times New Roman"/>
        </w:rPr>
        <w:t>in the market.</w:t>
      </w:r>
    </w:p>
    <w:p w14:paraId="56C805D4" w14:textId="529476E6" w:rsidR="00490D51" w:rsidRDefault="00490D51" w:rsidP="00490D51">
      <w:pPr>
        <w:spacing w:after="0" w:line="240" w:lineRule="auto"/>
        <w:rPr>
          <w:rFonts w:ascii="Times New Roman" w:hAnsi="Times New Roman" w:cs="Times New Roman"/>
        </w:rPr>
      </w:pPr>
    </w:p>
    <w:p w14:paraId="0C337CBE" w14:textId="663F7BDE" w:rsidR="00490D51" w:rsidRDefault="00490D51" w:rsidP="00490D51">
      <w:pPr>
        <w:spacing w:after="0" w:line="240" w:lineRule="auto"/>
        <w:rPr>
          <w:rFonts w:ascii="Times New Roman" w:hAnsi="Times New Roman" w:cs="Times New Roman"/>
        </w:rPr>
      </w:pPr>
      <w:r>
        <w:rPr>
          <w:rFonts w:ascii="Times New Roman" w:hAnsi="Times New Roman" w:cs="Times New Roman"/>
        </w:rPr>
        <w:t xml:space="preserve">It remains to be seen if any of the generative AI cases will see that more restrictive </w:t>
      </w:r>
      <w:r w:rsidRPr="00D55A32">
        <w:rPr>
          <w:rFonts w:ascii="Times New Roman" w:hAnsi="Times New Roman" w:cs="Times New Roman"/>
          <w:i/>
          <w:iCs/>
        </w:rPr>
        <w:t>Warhol</w:t>
      </w:r>
      <w:r>
        <w:rPr>
          <w:rFonts w:ascii="Times New Roman" w:hAnsi="Times New Roman" w:cs="Times New Roman"/>
        </w:rPr>
        <w:t xml:space="preserve"> interpretation on factor one analysis. It is also worth noting that the defendant </w:t>
      </w:r>
      <w:r w:rsidR="00D55A32">
        <w:rPr>
          <w:rFonts w:ascii="Times New Roman" w:hAnsi="Times New Roman" w:cs="Times New Roman"/>
        </w:rPr>
        <w:t xml:space="preserve">had </w:t>
      </w:r>
      <w:r>
        <w:rPr>
          <w:rFonts w:ascii="Times New Roman" w:hAnsi="Times New Roman" w:cs="Times New Roman"/>
        </w:rPr>
        <w:t>made efforts to license the material it needed for A</w:t>
      </w:r>
      <w:r w:rsidR="00D55A32">
        <w:rPr>
          <w:rFonts w:ascii="Times New Roman" w:hAnsi="Times New Roman" w:cs="Times New Roman"/>
        </w:rPr>
        <w:t>I</w:t>
      </w:r>
      <w:r>
        <w:rPr>
          <w:rFonts w:ascii="Times New Roman" w:hAnsi="Times New Roman" w:cs="Times New Roman"/>
        </w:rPr>
        <w:t xml:space="preserve"> training.</w:t>
      </w:r>
    </w:p>
    <w:p w14:paraId="54AA0546" w14:textId="15AA9865" w:rsidR="00481785" w:rsidRDefault="00481785" w:rsidP="0048178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53" w:name="_Toc220693075"/>
      <w:r>
        <w:rPr>
          <w:rFonts w:ascii="Times New Roman" w:eastAsia="Times New Roman" w:hAnsi="Times New Roman" w:cs="Times New Roman"/>
          <w:b/>
          <w:bCs/>
          <w:kern w:val="0"/>
          <w:sz w:val="27"/>
          <w:szCs w:val="27"/>
          <w14:ligatures w14:val="none"/>
        </w:rPr>
        <w:t>C</w:t>
      </w:r>
      <w:r w:rsidRPr="000445EC">
        <w:rPr>
          <w:rFonts w:ascii="Times New Roman" w:eastAsia="Times New Roman" w:hAnsi="Times New Roman" w:cs="Times New Roman"/>
          <w:b/>
          <w:bCs/>
          <w:kern w:val="0"/>
          <w:sz w:val="27"/>
          <w:szCs w:val="27"/>
          <w14:ligatures w14:val="none"/>
        </w:rPr>
        <w:t>.</w:t>
      </w:r>
      <w:r>
        <w:rPr>
          <w:rFonts w:ascii="Times New Roman" w:eastAsia="Times New Roman" w:hAnsi="Times New Roman" w:cs="Times New Roman"/>
          <w:b/>
          <w:bCs/>
          <w:kern w:val="0"/>
          <w:sz w:val="27"/>
          <w:szCs w:val="27"/>
          <w14:ligatures w14:val="none"/>
        </w:rPr>
        <w:t xml:space="preserve"> The Generative</w:t>
      </w:r>
      <w:r w:rsidR="00D55A32">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7"/>
          <w:szCs w:val="27"/>
          <w14:ligatures w14:val="none"/>
        </w:rPr>
        <w:t>AI Cases</w:t>
      </w:r>
      <w:bookmarkEnd w:id="53"/>
    </w:p>
    <w:p w14:paraId="569CC130" w14:textId="6DD01CD5" w:rsidR="00142F98" w:rsidRPr="00794BB3" w:rsidRDefault="00142F98" w:rsidP="00142F98">
      <w:pPr>
        <w:pStyle w:val="Heading4"/>
      </w:pPr>
      <w:bookmarkStart w:id="54" w:name="_Toc220693076"/>
      <w:r>
        <w:t>1</w:t>
      </w:r>
      <w:r w:rsidRPr="00794BB3">
        <w:t>. GitHub</w:t>
      </w:r>
      <w:r w:rsidR="00F71402">
        <w:t>,</w:t>
      </w:r>
      <w:r w:rsidRPr="00794BB3">
        <w:t xml:space="preserve"> Copilot</w:t>
      </w:r>
      <w:r w:rsidR="00F71402">
        <w:t>, Codex,</w:t>
      </w:r>
      <w:r w:rsidRPr="00794BB3">
        <w:t xml:space="preserve"> and the Software Context</w:t>
      </w:r>
      <w:bookmarkEnd w:id="54"/>
    </w:p>
    <w:p w14:paraId="2BF176FE" w14:textId="74456BF8" w:rsidR="00DB27B1" w:rsidRDefault="00234EC1" w:rsidP="00142F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 one of the earlier generative</w:t>
      </w:r>
      <w:r w:rsidR="00D55A32">
        <w:rPr>
          <w:rFonts w:ascii="Times New Roman" w:eastAsia="Times New Roman" w:hAnsi="Times New Roman" w:cs="Times New Roman"/>
        </w:rPr>
        <w:t xml:space="preserve"> </w:t>
      </w:r>
      <w:r>
        <w:rPr>
          <w:rFonts w:ascii="Times New Roman" w:eastAsia="Times New Roman" w:hAnsi="Times New Roman" w:cs="Times New Roman"/>
        </w:rPr>
        <w:t xml:space="preserve">AI cases, a number of programmers and software developers sued </w:t>
      </w:r>
      <w:r w:rsidR="00080528">
        <w:rPr>
          <w:rFonts w:ascii="Times New Roman" w:eastAsia="Times New Roman" w:hAnsi="Times New Roman" w:cs="Times New Roman"/>
        </w:rPr>
        <w:t xml:space="preserve">Github and OpenAI alleging that their </w:t>
      </w:r>
      <w:r w:rsidR="00DB27B1">
        <w:rPr>
          <w:rFonts w:ascii="Times New Roman" w:eastAsia="Times New Roman" w:hAnsi="Times New Roman" w:cs="Times New Roman"/>
        </w:rPr>
        <w:t xml:space="preserve">AI-based </w:t>
      </w:r>
      <w:r w:rsidR="00080528">
        <w:rPr>
          <w:rFonts w:ascii="Times New Roman" w:eastAsia="Times New Roman" w:hAnsi="Times New Roman" w:cs="Times New Roman"/>
        </w:rPr>
        <w:t xml:space="preserve">Copilot and Codex products were trained on </w:t>
      </w:r>
      <w:r w:rsidR="00DB27B1">
        <w:rPr>
          <w:rFonts w:ascii="Times New Roman" w:eastAsia="Times New Roman" w:hAnsi="Times New Roman" w:cs="Times New Roman"/>
        </w:rPr>
        <w:t>computer code</w:t>
      </w:r>
      <w:r w:rsidR="00080528">
        <w:rPr>
          <w:rFonts w:ascii="Times New Roman" w:eastAsia="Times New Roman" w:hAnsi="Times New Roman" w:cs="Times New Roman"/>
        </w:rPr>
        <w:t xml:space="preserve"> written by the plaintiffs and taken from public code repositories.</w:t>
      </w:r>
      <w:r w:rsidR="002C0F8D">
        <w:rPr>
          <w:rStyle w:val="FootnoteReference"/>
          <w:rFonts w:ascii="Times New Roman" w:eastAsia="Times New Roman" w:hAnsi="Times New Roman" w:cs="Times New Roman"/>
        </w:rPr>
        <w:footnoteReference w:id="200"/>
      </w:r>
      <w:r w:rsidR="00080528">
        <w:rPr>
          <w:rFonts w:ascii="Times New Roman" w:eastAsia="Times New Roman" w:hAnsi="Times New Roman" w:cs="Times New Roman"/>
        </w:rPr>
        <w:t xml:space="preserve"> There were over twenty legal claims made by the plaintiffs, but none for direct or indirect copyright infringement. Most of the claims were dismissed</w:t>
      </w:r>
      <w:r w:rsidR="00DB27B1">
        <w:rPr>
          <w:rFonts w:ascii="Times New Roman" w:eastAsia="Times New Roman" w:hAnsi="Times New Roman" w:cs="Times New Roman"/>
        </w:rPr>
        <w:t>,</w:t>
      </w:r>
      <w:r w:rsidR="00080528">
        <w:rPr>
          <w:rFonts w:ascii="Times New Roman" w:eastAsia="Times New Roman" w:hAnsi="Times New Roman" w:cs="Times New Roman"/>
        </w:rPr>
        <w:t xml:space="preserve"> but it is worth discussing the DMCA claims.</w:t>
      </w:r>
    </w:p>
    <w:p w14:paraId="0531D113" w14:textId="3FFAEF3E" w:rsidR="001C7468" w:rsidRDefault="00DB27B1" w:rsidP="00BD7D6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court had previously dismissed a claim under Section 1202(a), so it addresses on</w:t>
      </w:r>
      <w:r w:rsidR="00A832CC">
        <w:rPr>
          <w:rFonts w:ascii="Times New Roman" w:eastAsia="Times New Roman" w:hAnsi="Times New Roman" w:cs="Times New Roman"/>
        </w:rPr>
        <w:t>ly</w:t>
      </w:r>
      <w:r>
        <w:rPr>
          <w:rFonts w:ascii="Times New Roman" w:eastAsia="Times New Roman" w:hAnsi="Times New Roman" w:cs="Times New Roman"/>
        </w:rPr>
        <w:t xml:space="preserve"> the three separate claims under Section 1202(b).</w:t>
      </w:r>
      <w:r w:rsidR="00A832CC">
        <w:rPr>
          <w:rFonts w:ascii="Times New Roman" w:eastAsia="Times New Roman" w:hAnsi="Times New Roman" w:cs="Times New Roman"/>
        </w:rPr>
        <w:t xml:space="preserve"> All claims made under Section 1202(b) require that the behavior </w:t>
      </w:r>
      <w:r w:rsidR="00BD7D6B">
        <w:rPr>
          <w:rFonts w:ascii="Times New Roman" w:eastAsia="Times New Roman" w:hAnsi="Times New Roman" w:cs="Times New Roman"/>
        </w:rPr>
        <w:t>attributed to the defendant, i.e., under (b)(1), to “</w:t>
      </w:r>
      <w:r w:rsidR="00BD7D6B" w:rsidRPr="00A832CC">
        <w:rPr>
          <w:rFonts w:ascii="Times New Roman" w:eastAsia="Times New Roman" w:hAnsi="Times New Roman" w:cs="Times New Roman"/>
        </w:rPr>
        <w:t>intentionally remove or alter any copyright management information</w:t>
      </w:r>
      <w:r w:rsidR="00BD7D6B">
        <w:rPr>
          <w:rFonts w:ascii="Times New Roman" w:eastAsia="Times New Roman" w:hAnsi="Times New Roman" w:cs="Times New Roman"/>
        </w:rPr>
        <w:t>” or, under (b)(2), to “</w:t>
      </w:r>
      <w:r w:rsidR="00BD7D6B" w:rsidRPr="00A832CC">
        <w:rPr>
          <w:rFonts w:ascii="Times New Roman" w:eastAsia="Times New Roman" w:hAnsi="Times New Roman" w:cs="Times New Roman"/>
        </w:rPr>
        <w:t xml:space="preserve">distribute or import for distribution copyright management information </w:t>
      </w:r>
      <w:r w:rsidR="00BD7D6B" w:rsidRPr="00BD7D6B">
        <w:rPr>
          <w:rFonts w:ascii="Times New Roman" w:eastAsia="Times New Roman" w:hAnsi="Times New Roman" w:cs="Times New Roman"/>
          <w:i/>
        </w:rPr>
        <w:t>knowing</w:t>
      </w:r>
      <w:r w:rsidR="00BD7D6B" w:rsidRPr="00A832CC">
        <w:rPr>
          <w:rFonts w:ascii="Times New Roman" w:eastAsia="Times New Roman" w:hAnsi="Times New Roman" w:cs="Times New Roman"/>
        </w:rPr>
        <w:t xml:space="preserve"> that the copyright management information has been removed or altered without authority of the copyright owner or the law</w:t>
      </w:r>
      <w:r w:rsidR="00BD7D6B">
        <w:rPr>
          <w:rFonts w:ascii="Times New Roman" w:eastAsia="Times New Roman" w:hAnsi="Times New Roman" w:cs="Times New Roman"/>
        </w:rPr>
        <w:t>” or, under (b)(3), to “</w:t>
      </w:r>
      <w:r w:rsidR="00BD7D6B" w:rsidRPr="00A832CC">
        <w:rPr>
          <w:rFonts w:ascii="Times New Roman" w:eastAsia="Times New Roman" w:hAnsi="Times New Roman" w:cs="Times New Roman"/>
        </w:rPr>
        <w:t xml:space="preserve">distribute, import for distribution, or publicly perform works, copies of works, or phonorecords, knowing that copyright management information has been removed or altered without authority </w:t>
      </w:r>
      <w:r w:rsidR="00BD7D6B" w:rsidRPr="00A832CC">
        <w:rPr>
          <w:rFonts w:ascii="Times New Roman" w:eastAsia="Times New Roman" w:hAnsi="Times New Roman" w:cs="Times New Roman"/>
        </w:rPr>
        <w:lastRenderedPageBreak/>
        <w:t>of the copyright owner or the law</w:t>
      </w:r>
      <w:r w:rsidR="00BD7D6B">
        <w:rPr>
          <w:rFonts w:ascii="Times New Roman" w:eastAsia="Times New Roman" w:hAnsi="Times New Roman" w:cs="Times New Roman"/>
        </w:rPr>
        <w:t>” must be done so “</w:t>
      </w:r>
      <w:r w:rsidR="00BD7D6B" w:rsidRPr="00BD7D6B">
        <w:rPr>
          <w:rFonts w:ascii="Times New Roman" w:eastAsia="Times New Roman" w:hAnsi="Times New Roman" w:cs="Times New Roman"/>
          <w:i/>
        </w:rPr>
        <w:t>knowing, or</w:t>
      </w:r>
      <w:r w:rsidR="00BD7D6B" w:rsidRPr="00BD7D6B">
        <w:rPr>
          <w:rFonts w:ascii="Times New Roman" w:eastAsia="Times New Roman" w:hAnsi="Times New Roman" w:cs="Times New Roman"/>
        </w:rPr>
        <w:t xml:space="preserve">, </w:t>
      </w:r>
      <w:r w:rsidR="00BD7D6B" w:rsidRPr="00A832CC">
        <w:rPr>
          <w:rFonts w:ascii="Times New Roman" w:eastAsia="Times New Roman" w:hAnsi="Times New Roman" w:cs="Times New Roman"/>
        </w:rPr>
        <w:t xml:space="preserve">with respect to civil remedies under section 1203, </w:t>
      </w:r>
      <w:r w:rsidR="00BD7D6B" w:rsidRPr="00BD7D6B">
        <w:rPr>
          <w:rFonts w:ascii="Times New Roman" w:eastAsia="Times New Roman" w:hAnsi="Times New Roman" w:cs="Times New Roman"/>
          <w:i/>
        </w:rPr>
        <w:t>having reasonable grounds to know</w:t>
      </w:r>
      <w:r w:rsidR="00BD7D6B" w:rsidRPr="00A832CC">
        <w:rPr>
          <w:rFonts w:ascii="Times New Roman" w:eastAsia="Times New Roman" w:hAnsi="Times New Roman" w:cs="Times New Roman"/>
        </w:rPr>
        <w:t>, that it will induce, enable, facilitate, or conceal an infringement of any right under this title.</w:t>
      </w:r>
      <w:r w:rsidR="00BD7D6B">
        <w:rPr>
          <w:rFonts w:ascii="Times New Roman" w:eastAsia="Times New Roman" w:hAnsi="Times New Roman" w:cs="Times New Roman"/>
        </w:rPr>
        <w:t>”</w:t>
      </w:r>
      <w:r w:rsidR="00EC33C5">
        <w:rPr>
          <w:rStyle w:val="FootnoteReference"/>
          <w:rFonts w:ascii="Times New Roman" w:eastAsia="Times New Roman" w:hAnsi="Times New Roman" w:cs="Times New Roman"/>
        </w:rPr>
        <w:footnoteReference w:id="201"/>
      </w:r>
      <w:r w:rsidR="00BD7D6B">
        <w:rPr>
          <w:rFonts w:ascii="Times New Roman" w:eastAsia="Times New Roman" w:hAnsi="Times New Roman" w:cs="Times New Roman"/>
        </w:rPr>
        <w:t xml:space="preserve">  Thus, any claim made under (b)(2) requires “double-scienter.” In other words, it must be alleged that the action under (b)(2) was done </w:t>
      </w:r>
      <w:r w:rsidR="00BD7D6B" w:rsidRPr="00BD7D6B">
        <w:rPr>
          <w:rFonts w:ascii="Times New Roman" w:eastAsia="Times New Roman" w:hAnsi="Times New Roman" w:cs="Times New Roman"/>
          <w:i/>
        </w:rPr>
        <w:t>knowing</w:t>
      </w:r>
      <w:r w:rsidR="00BD7D6B">
        <w:rPr>
          <w:rFonts w:ascii="Times New Roman" w:eastAsia="Times New Roman" w:hAnsi="Times New Roman" w:cs="Times New Roman"/>
        </w:rPr>
        <w:t xml:space="preserve"> that the CMI was removed or altered, and </w:t>
      </w:r>
      <w:r w:rsidR="001C7468">
        <w:rPr>
          <w:rFonts w:ascii="Times New Roman" w:eastAsia="Times New Roman" w:hAnsi="Times New Roman" w:cs="Times New Roman"/>
        </w:rPr>
        <w:t xml:space="preserve">also (as for all claims under Section 1202(b)), </w:t>
      </w:r>
      <w:r w:rsidR="001C7468" w:rsidRPr="00EC33C5">
        <w:rPr>
          <w:rFonts w:ascii="Times New Roman" w:eastAsia="Times New Roman" w:hAnsi="Times New Roman" w:cs="Times New Roman"/>
          <w:i/>
        </w:rPr>
        <w:t>knowing</w:t>
      </w:r>
      <w:r w:rsidR="001C7468">
        <w:rPr>
          <w:rFonts w:ascii="Times New Roman" w:eastAsia="Times New Roman" w:hAnsi="Times New Roman" w:cs="Times New Roman"/>
        </w:rPr>
        <w:t xml:space="preserve"> . . . or having reasonable grounds to know that it will induce, enable, facilitate, or conceal an infringement. an infringement. </w:t>
      </w:r>
    </w:p>
    <w:p w14:paraId="7D293B92" w14:textId="51B9B99B" w:rsidR="00080528" w:rsidRDefault="007B5972" w:rsidP="00142F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The court held that, at “the pleading stage, mental conditions generally need not be alleged with specificity,” but that “the allegations in the complaint do not allege the distribution of altered CMI,” as required by Section 1202 (b)(2).</w:t>
      </w:r>
      <w:r>
        <w:rPr>
          <w:rStyle w:val="FootnoteReference"/>
          <w:rFonts w:ascii="Times New Roman" w:eastAsia="Times New Roman" w:hAnsi="Times New Roman" w:cs="Times New Roman"/>
        </w:rPr>
        <w:footnoteReference w:id="202"/>
      </w:r>
      <w:r>
        <w:rPr>
          <w:rFonts w:ascii="Times New Roman" w:eastAsia="Times New Roman" w:hAnsi="Times New Roman" w:cs="Times New Roman"/>
        </w:rPr>
        <w:t xml:space="preserve"> </w:t>
      </w:r>
      <w:r w:rsidR="001C7468">
        <w:rPr>
          <w:rFonts w:ascii="Times New Roman" w:eastAsia="Times New Roman" w:hAnsi="Times New Roman" w:cs="Times New Roman"/>
        </w:rPr>
        <w:t>Accordingly, the court dismissed the Section 1202(b)(2) claim for failure to sufficiently plead, but denied dismissal of the Section 1202 (b)(1) and (b)(3) claims.</w:t>
      </w:r>
      <w:r>
        <w:rPr>
          <w:rStyle w:val="FootnoteReference"/>
          <w:rFonts w:ascii="Times New Roman" w:eastAsia="Times New Roman" w:hAnsi="Times New Roman" w:cs="Times New Roman"/>
        </w:rPr>
        <w:footnoteReference w:id="203"/>
      </w:r>
      <w:r>
        <w:rPr>
          <w:rFonts w:ascii="Times New Roman" w:eastAsia="Times New Roman" w:hAnsi="Times New Roman" w:cs="Times New Roman"/>
        </w:rPr>
        <w:t xml:space="preserve"> </w:t>
      </w:r>
      <w:r w:rsidR="001C7468">
        <w:rPr>
          <w:rFonts w:ascii="Times New Roman" w:eastAsia="Times New Roman" w:hAnsi="Times New Roman" w:cs="Times New Roman"/>
        </w:rPr>
        <w:t xml:space="preserve">This is the first time we see the </w:t>
      </w:r>
      <w:r w:rsidR="000C7E42">
        <w:rPr>
          <w:rFonts w:ascii="Times New Roman" w:eastAsia="Times New Roman" w:hAnsi="Times New Roman" w:cs="Times New Roman"/>
        </w:rPr>
        <w:t>challenge</w:t>
      </w:r>
      <w:r w:rsidR="001C7468">
        <w:rPr>
          <w:rFonts w:ascii="Times New Roman" w:eastAsia="Times New Roman" w:hAnsi="Times New Roman" w:cs="Times New Roman"/>
        </w:rPr>
        <w:t xml:space="preserve"> in pleading DMCA claims, but it will not be the last.</w:t>
      </w:r>
    </w:p>
    <w:p w14:paraId="1AC4DE01" w14:textId="1F68CF2F" w:rsidR="00A81706" w:rsidRPr="00D247FF" w:rsidRDefault="00A81706" w:rsidP="00A81706">
      <w:pPr>
        <w:pStyle w:val="Heading4"/>
        <w:rPr>
          <w:rFonts w:eastAsia="Times New Roman"/>
          <w:b/>
          <w:bCs/>
          <w:sz w:val="27"/>
          <w:szCs w:val="27"/>
        </w:rPr>
      </w:pPr>
      <w:bookmarkStart w:id="55" w:name="_Toc220693077"/>
      <w:r>
        <w:t>2</w:t>
      </w:r>
      <w:r w:rsidRPr="00794BB3">
        <w:t>. Andersen v. Stability AI Ltd. and Getty Images v. Stability AI</w:t>
      </w:r>
      <w:bookmarkEnd w:id="55"/>
    </w:p>
    <w:p w14:paraId="046D2091" w14:textId="079AB9D0" w:rsidR="00B26ADC" w:rsidRDefault="00851C7E"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Three v</w:t>
      </w:r>
      <w:r w:rsidR="00A81706" w:rsidRPr="00D247FF">
        <w:rPr>
          <w:rFonts w:ascii="Times New Roman" w:eastAsia="Times New Roman" w:hAnsi="Times New Roman" w:cs="Times New Roman"/>
        </w:rPr>
        <w:t xml:space="preserve">isual artists </w:t>
      </w:r>
      <w:r w:rsidR="00B26ADC">
        <w:rPr>
          <w:rFonts w:ascii="Times New Roman" w:eastAsia="Times New Roman" w:hAnsi="Times New Roman" w:cs="Times New Roman"/>
        </w:rPr>
        <w:t>brought a variety of claims against three defendants based upon the use of over five billion images scraped and copied from the Internet and used to train defendant Stability’s Stable Diffusion image generator.</w:t>
      </w:r>
      <w:r w:rsidR="00B26ADC">
        <w:rPr>
          <w:rStyle w:val="FootnoteReference"/>
          <w:rFonts w:ascii="Times New Roman" w:eastAsia="Times New Roman" w:hAnsi="Times New Roman" w:cs="Times New Roman"/>
        </w:rPr>
        <w:footnoteReference w:id="204"/>
      </w:r>
      <w:r w:rsidR="00B26ADC">
        <w:rPr>
          <w:rFonts w:ascii="Times New Roman" w:eastAsia="Times New Roman" w:hAnsi="Times New Roman" w:cs="Times New Roman"/>
        </w:rPr>
        <w:t xml:space="preserve"> </w:t>
      </w:r>
      <w:r w:rsidR="006C6E51">
        <w:rPr>
          <w:rFonts w:ascii="Times New Roman" w:eastAsia="Times New Roman" w:hAnsi="Times New Roman" w:cs="Times New Roman"/>
        </w:rPr>
        <w:t>The three defendants each had an image generator product based upon Stable Diffusion. Stability’s product is called DreamStudio, defendant DeviantArt’s product is called DreamUp, and Midjourney’s product is called Midjourney Product. Plaintiffs</w:t>
      </w:r>
      <w:r w:rsidR="00C52265">
        <w:rPr>
          <w:rFonts w:ascii="Times New Roman" w:eastAsia="Times New Roman" w:hAnsi="Times New Roman" w:cs="Times New Roman"/>
        </w:rPr>
        <w:t>’</w:t>
      </w:r>
      <w:r w:rsidR="006C6E51">
        <w:rPr>
          <w:rFonts w:ascii="Times New Roman" w:eastAsia="Times New Roman" w:hAnsi="Times New Roman" w:cs="Times New Roman"/>
        </w:rPr>
        <w:t xml:space="preserve"> claims include direct copyright infringement, vicarious copyright infringement, and DMCA </w:t>
      </w:r>
      <w:r w:rsidR="00ED3A0B">
        <w:rPr>
          <w:rFonts w:ascii="Times New Roman" w:eastAsia="Times New Roman" w:hAnsi="Times New Roman" w:cs="Times New Roman"/>
        </w:rPr>
        <w:t>violations</w:t>
      </w:r>
      <w:r w:rsidR="006C6E51">
        <w:rPr>
          <w:rFonts w:ascii="Times New Roman" w:eastAsia="Times New Roman" w:hAnsi="Times New Roman" w:cs="Times New Roman"/>
        </w:rPr>
        <w:t>.</w:t>
      </w:r>
    </w:p>
    <w:p w14:paraId="7CE75939" w14:textId="7C22C65A" w:rsidR="00450FB0" w:rsidRDefault="00450FB0"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Each of the defendants made motions to dismiss the direct infringement claims of each of the plaintiffs. All were granted </w:t>
      </w:r>
      <w:r w:rsidR="00ED3A0B">
        <w:rPr>
          <w:rFonts w:ascii="Times New Roman" w:eastAsia="Times New Roman" w:hAnsi="Times New Roman" w:cs="Times New Roman"/>
        </w:rPr>
        <w:t xml:space="preserve">(with leave to amend) </w:t>
      </w:r>
      <w:r>
        <w:rPr>
          <w:rFonts w:ascii="Times New Roman" w:eastAsia="Times New Roman" w:hAnsi="Times New Roman" w:cs="Times New Roman"/>
        </w:rPr>
        <w:t>except Plaintiff Andersen’s claim against Stability.</w:t>
      </w:r>
      <w:r w:rsidR="002E0430">
        <w:rPr>
          <w:rStyle w:val="FootnoteReference"/>
          <w:rFonts w:ascii="Times New Roman" w:eastAsia="Times New Roman" w:hAnsi="Times New Roman" w:cs="Times New Roman"/>
        </w:rPr>
        <w:footnoteReference w:id="205"/>
      </w:r>
      <w:r>
        <w:rPr>
          <w:rFonts w:ascii="Times New Roman" w:eastAsia="Times New Roman" w:hAnsi="Times New Roman" w:cs="Times New Roman"/>
        </w:rPr>
        <w:t xml:space="preserve"> The motion to dismiss the claim that defendants’ output images were all infringing derivative works was granted, but with leave for the plaintiffs to plead more clarified theories and plausible facts.</w:t>
      </w:r>
      <w:r w:rsidR="002E0430">
        <w:rPr>
          <w:rStyle w:val="FootnoteReference"/>
          <w:rFonts w:ascii="Times New Roman" w:eastAsia="Times New Roman" w:hAnsi="Times New Roman" w:cs="Times New Roman"/>
        </w:rPr>
        <w:footnoteReference w:id="206"/>
      </w:r>
    </w:p>
    <w:p w14:paraId="7E3F33F0" w14:textId="0FDBB39A" w:rsidR="00B26ADC" w:rsidRDefault="00ED3A0B"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All of the DMCA claims were also dismissed with leave to amend.</w:t>
      </w:r>
      <w:r w:rsidR="002E0430">
        <w:rPr>
          <w:rStyle w:val="FootnoteReference"/>
          <w:rFonts w:ascii="Times New Roman" w:eastAsia="Times New Roman" w:hAnsi="Times New Roman" w:cs="Times New Roman"/>
        </w:rPr>
        <w:footnoteReference w:id="207"/>
      </w:r>
      <w:r>
        <w:rPr>
          <w:rFonts w:ascii="Times New Roman" w:eastAsia="Times New Roman" w:hAnsi="Times New Roman" w:cs="Times New Roman"/>
        </w:rPr>
        <w:t xml:space="preserve"> The court stated that the plaintiffs must allege more specificity with regard to what type of CMI was removed or altered; which defendants removed or </w:t>
      </w:r>
      <w:r w:rsidR="00190B89">
        <w:rPr>
          <w:rFonts w:ascii="Times New Roman" w:eastAsia="Times New Roman" w:hAnsi="Times New Roman" w:cs="Times New Roman"/>
        </w:rPr>
        <w:t>al</w:t>
      </w:r>
      <w:r>
        <w:rPr>
          <w:rFonts w:ascii="Times New Roman" w:eastAsia="Times New Roman" w:hAnsi="Times New Roman" w:cs="Times New Roman"/>
        </w:rPr>
        <w:t>tered the CMI; and when it happened.</w:t>
      </w:r>
      <w:r w:rsidR="002E0430">
        <w:rPr>
          <w:rStyle w:val="FootnoteReference"/>
          <w:rFonts w:ascii="Times New Roman" w:eastAsia="Times New Roman" w:hAnsi="Times New Roman" w:cs="Times New Roman"/>
        </w:rPr>
        <w:footnoteReference w:id="208"/>
      </w:r>
    </w:p>
    <w:p w14:paraId="1670CD18" w14:textId="49FDCB6E" w:rsidR="00B26ADC" w:rsidRDefault="00ED3A0B"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court granted defendant DeviantArt’s motion to dismiss the right of publicity claim, again with leave </w:t>
      </w:r>
      <w:r w:rsidR="00190B89">
        <w:rPr>
          <w:rFonts w:ascii="Times New Roman" w:eastAsia="Times New Roman" w:hAnsi="Times New Roman" w:cs="Times New Roman"/>
        </w:rPr>
        <w:t xml:space="preserve">for plaintiffs </w:t>
      </w:r>
      <w:r>
        <w:rPr>
          <w:rFonts w:ascii="Times New Roman" w:eastAsia="Times New Roman" w:hAnsi="Times New Roman" w:cs="Times New Roman"/>
        </w:rPr>
        <w:t>to amend</w:t>
      </w:r>
      <w:r w:rsidR="00190B89">
        <w:rPr>
          <w:rFonts w:ascii="Times New Roman" w:eastAsia="Times New Roman" w:hAnsi="Times New Roman" w:cs="Times New Roman"/>
        </w:rPr>
        <w:t xml:space="preserve"> their complaint with more clarity about their theory of liability</w:t>
      </w:r>
      <w:r>
        <w:rPr>
          <w:rFonts w:ascii="Times New Roman" w:eastAsia="Times New Roman" w:hAnsi="Times New Roman" w:cs="Times New Roman"/>
        </w:rPr>
        <w:t xml:space="preserve">. </w:t>
      </w:r>
      <w:r>
        <w:rPr>
          <w:rFonts w:ascii="Times New Roman" w:eastAsia="Times New Roman" w:hAnsi="Times New Roman" w:cs="Times New Roman"/>
        </w:rPr>
        <w:lastRenderedPageBreak/>
        <w:t xml:space="preserve">The court discussed the </w:t>
      </w:r>
      <w:r w:rsidRPr="00190B89">
        <w:rPr>
          <w:rFonts w:ascii="Times New Roman" w:eastAsia="Times New Roman" w:hAnsi="Times New Roman" w:cs="Times New Roman"/>
          <w:i/>
          <w:iCs/>
        </w:rPr>
        <w:t>Comedy III</w:t>
      </w:r>
      <w:r>
        <w:rPr>
          <w:rFonts w:ascii="Times New Roman" w:eastAsia="Times New Roman" w:hAnsi="Times New Roman" w:cs="Times New Roman"/>
        </w:rPr>
        <w:t xml:space="preserve"> case and the transformative use defense.</w:t>
      </w:r>
      <w:r w:rsidR="000C7E42">
        <w:rPr>
          <w:rStyle w:val="FootnoteReference"/>
          <w:rFonts w:ascii="Times New Roman" w:eastAsia="Times New Roman" w:hAnsi="Times New Roman" w:cs="Times New Roman"/>
        </w:rPr>
        <w:footnoteReference w:id="209"/>
      </w:r>
      <w:r>
        <w:rPr>
          <w:rFonts w:ascii="Times New Roman" w:eastAsia="Times New Roman" w:hAnsi="Times New Roman" w:cs="Times New Roman"/>
        </w:rPr>
        <w:t xml:space="preserve"> Plaintiffs challenged that </w:t>
      </w:r>
      <w:r w:rsidR="00190B89">
        <w:rPr>
          <w:rFonts w:ascii="Times New Roman" w:eastAsia="Times New Roman" w:hAnsi="Times New Roman" w:cs="Times New Roman"/>
        </w:rPr>
        <w:t xml:space="preserve">it is not appropriate to delve into balancing tests between the First Amendment and the right of publicity at the motion to dismiss stage. The court agreed and stated that it would withhold further action until the plaintiffs </w:t>
      </w:r>
      <w:r w:rsidR="00216088">
        <w:rPr>
          <w:rFonts w:ascii="Times New Roman" w:eastAsia="Times New Roman" w:hAnsi="Times New Roman" w:cs="Times New Roman"/>
        </w:rPr>
        <w:t xml:space="preserve">amended </w:t>
      </w:r>
      <w:r w:rsidR="00190B89">
        <w:rPr>
          <w:rFonts w:ascii="Times New Roman" w:eastAsia="Times New Roman" w:hAnsi="Times New Roman" w:cs="Times New Roman"/>
        </w:rPr>
        <w:t>their right of publicity claims.</w:t>
      </w:r>
      <w:r w:rsidR="000C7E42">
        <w:rPr>
          <w:rStyle w:val="FootnoteReference"/>
          <w:rFonts w:ascii="Times New Roman" w:eastAsia="Times New Roman" w:hAnsi="Times New Roman" w:cs="Times New Roman"/>
        </w:rPr>
        <w:footnoteReference w:id="210"/>
      </w:r>
    </w:p>
    <w:p w14:paraId="73281AD2" w14:textId="16BE4EAB" w:rsidR="00190B89" w:rsidRDefault="00190B89"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After additional plaintiffs and defendants were added to the case and plaintiffs filed amended complaints, the court made a second ruling in August 2024.</w:t>
      </w:r>
      <w:r w:rsidR="00707899">
        <w:rPr>
          <w:rStyle w:val="FootnoteReference"/>
          <w:rFonts w:ascii="Times New Roman" w:eastAsia="Times New Roman" w:hAnsi="Times New Roman" w:cs="Times New Roman"/>
        </w:rPr>
        <w:footnoteReference w:id="211"/>
      </w:r>
      <w:r>
        <w:rPr>
          <w:rFonts w:ascii="Times New Roman" w:eastAsia="Times New Roman" w:hAnsi="Times New Roman" w:cs="Times New Roman"/>
        </w:rPr>
        <w:t xml:space="preserve"> </w:t>
      </w:r>
      <w:r w:rsidR="00F71402">
        <w:rPr>
          <w:rFonts w:ascii="Times New Roman" w:eastAsia="Times New Roman" w:hAnsi="Times New Roman" w:cs="Times New Roman"/>
        </w:rPr>
        <w:t>Basically,</w:t>
      </w:r>
      <w:r w:rsidR="007617C5">
        <w:rPr>
          <w:rFonts w:ascii="Times New Roman" w:eastAsia="Times New Roman" w:hAnsi="Times New Roman" w:cs="Times New Roman"/>
        </w:rPr>
        <w:t xml:space="preserve"> all of the </w:t>
      </w:r>
      <w:r w:rsidR="00FF748B">
        <w:rPr>
          <w:rFonts w:ascii="Times New Roman" w:eastAsia="Times New Roman" w:hAnsi="Times New Roman" w:cs="Times New Roman"/>
        </w:rPr>
        <w:t>DMCA</w:t>
      </w:r>
      <w:r w:rsidR="007617C5">
        <w:rPr>
          <w:rFonts w:ascii="Times New Roman" w:eastAsia="Times New Roman" w:hAnsi="Times New Roman" w:cs="Times New Roman"/>
        </w:rPr>
        <w:t xml:space="preserve"> claims were dismissed </w:t>
      </w:r>
      <w:r w:rsidR="00952D3F">
        <w:rPr>
          <w:rFonts w:ascii="Times New Roman" w:eastAsia="Times New Roman" w:hAnsi="Times New Roman" w:cs="Times New Roman"/>
        </w:rPr>
        <w:t xml:space="preserve">with prejudice </w:t>
      </w:r>
      <w:r w:rsidR="007617C5">
        <w:rPr>
          <w:rFonts w:ascii="Times New Roman" w:eastAsia="Times New Roman" w:hAnsi="Times New Roman" w:cs="Times New Roman"/>
        </w:rPr>
        <w:t xml:space="preserve">and all of the copyright infringement claims </w:t>
      </w:r>
      <w:r w:rsidR="00216088">
        <w:rPr>
          <w:rFonts w:ascii="Times New Roman" w:eastAsia="Times New Roman" w:hAnsi="Times New Roman" w:cs="Times New Roman"/>
        </w:rPr>
        <w:t xml:space="preserve">will </w:t>
      </w:r>
      <w:r w:rsidR="007617C5">
        <w:rPr>
          <w:rFonts w:ascii="Times New Roman" w:eastAsia="Times New Roman" w:hAnsi="Times New Roman" w:cs="Times New Roman"/>
        </w:rPr>
        <w:t>proceed.</w:t>
      </w:r>
      <w:r w:rsidR="00707899">
        <w:rPr>
          <w:rStyle w:val="FootnoteReference"/>
          <w:rFonts w:ascii="Times New Roman" w:eastAsia="Times New Roman" w:hAnsi="Times New Roman" w:cs="Times New Roman"/>
        </w:rPr>
        <w:footnoteReference w:id="212"/>
      </w:r>
      <w:r w:rsidR="007617C5">
        <w:rPr>
          <w:rFonts w:ascii="Times New Roman" w:eastAsia="Times New Roman" w:hAnsi="Times New Roman" w:cs="Times New Roman"/>
        </w:rPr>
        <w:t xml:space="preserve"> This is</w:t>
      </w:r>
      <w:r w:rsidR="002B174F">
        <w:rPr>
          <w:rFonts w:ascii="Times New Roman" w:eastAsia="Times New Roman" w:hAnsi="Times New Roman" w:cs="Times New Roman"/>
        </w:rPr>
        <w:t>,</w:t>
      </w:r>
      <w:r w:rsidR="007617C5">
        <w:rPr>
          <w:rFonts w:ascii="Times New Roman" w:eastAsia="Times New Roman" w:hAnsi="Times New Roman" w:cs="Times New Roman"/>
        </w:rPr>
        <w:t xml:space="preserve"> obviously, one of the major pending cases to watch.</w:t>
      </w:r>
    </w:p>
    <w:p w14:paraId="0A4A94BA" w14:textId="77777777" w:rsidR="00952D3F" w:rsidRDefault="00A81706" w:rsidP="00A81706">
      <w:pPr>
        <w:spacing w:before="100" w:beforeAutospacing="1" w:after="100" w:afterAutospacing="1" w:line="240" w:lineRule="auto"/>
        <w:rPr>
          <w:rFonts w:ascii="Times New Roman" w:eastAsia="Times New Roman" w:hAnsi="Times New Roman" w:cs="Times New Roman"/>
        </w:rPr>
      </w:pPr>
      <w:r w:rsidRPr="00D247FF">
        <w:rPr>
          <w:rFonts w:ascii="Times New Roman" w:eastAsia="Times New Roman" w:hAnsi="Times New Roman" w:cs="Times New Roman"/>
        </w:rPr>
        <w:t xml:space="preserve">A related case, </w:t>
      </w:r>
      <w:r w:rsidRPr="00D247FF">
        <w:rPr>
          <w:rFonts w:ascii="Times New Roman" w:eastAsia="Times New Roman" w:hAnsi="Times New Roman" w:cs="Times New Roman"/>
          <w:i/>
          <w:iCs/>
        </w:rPr>
        <w:t>Getty Images v. Stability AI</w:t>
      </w:r>
      <w:r w:rsidRPr="00D247FF">
        <w:rPr>
          <w:rFonts w:ascii="Times New Roman" w:eastAsia="Times New Roman" w:hAnsi="Times New Roman" w:cs="Times New Roman"/>
        </w:rPr>
        <w:t>, filed in Delaware</w:t>
      </w:r>
      <w:r>
        <w:rPr>
          <w:rFonts w:ascii="Times New Roman" w:eastAsia="Times New Roman" w:hAnsi="Times New Roman" w:cs="Times New Roman"/>
        </w:rPr>
        <w:t xml:space="preserve"> and later refiled in the Northern District of California</w:t>
      </w:r>
      <w:r w:rsidRPr="00D247FF">
        <w:rPr>
          <w:rFonts w:ascii="Times New Roman" w:eastAsia="Times New Roman" w:hAnsi="Times New Roman" w:cs="Times New Roman"/>
        </w:rPr>
        <w:t xml:space="preserve">, narrows the claim to </w:t>
      </w:r>
      <w:r>
        <w:rPr>
          <w:rFonts w:ascii="Times New Roman" w:eastAsia="Times New Roman" w:hAnsi="Times New Roman" w:cs="Times New Roman"/>
        </w:rPr>
        <w:t xml:space="preserve">the </w:t>
      </w:r>
      <w:r w:rsidRPr="00D247FF">
        <w:rPr>
          <w:rFonts w:ascii="Times New Roman" w:eastAsia="Times New Roman" w:hAnsi="Times New Roman" w:cs="Times New Roman"/>
        </w:rPr>
        <w:t>direct copying</w:t>
      </w:r>
      <w:r>
        <w:rPr>
          <w:rFonts w:ascii="Times New Roman" w:eastAsia="Times New Roman" w:hAnsi="Times New Roman" w:cs="Times New Roman"/>
        </w:rPr>
        <w:t xml:space="preserve"> of 12 million images used to train defendant’s Stable Fusion AI model</w:t>
      </w:r>
      <w:r w:rsidRPr="00D247FF">
        <w:rPr>
          <w:rFonts w:ascii="Times New Roman" w:eastAsia="Times New Roman" w:hAnsi="Times New Roman" w:cs="Times New Roman"/>
        </w:rPr>
        <w:t>.</w:t>
      </w:r>
      <w:r w:rsidR="002B174F" w:rsidRPr="002B174F">
        <w:rPr>
          <w:rStyle w:val="FootnoteReference"/>
          <w:rFonts w:ascii="Times New Roman" w:eastAsia="Times New Roman" w:hAnsi="Times New Roman" w:cs="Times New Roman"/>
        </w:rPr>
        <w:t xml:space="preserve"> </w:t>
      </w:r>
      <w:r w:rsidR="002B174F">
        <w:rPr>
          <w:rStyle w:val="FootnoteReference"/>
          <w:rFonts w:ascii="Times New Roman" w:eastAsia="Times New Roman" w:hAnsi="Times New Roman" w:cs="Times New Roman"/>
        </w:rPr>
        <w:footnoteReference w:id="213"/>
      </w:r>
      <w:r w:rsidRPr="00D247FF">
        <w:rPr>
          <w:rFonts w:ascii="Times New Roman" w:eastAsia="Times New Roman" w:hAnsi="Times New Roman" w:cs="Times New Roman"/>
        </w:rPr>
        <w:t xml:space="preserve"> Getty alleges that its proprietary watermark and other distinctive features appear in AI outputs, demonstrating literal reproduction. </w:t>
      </w:r>
      <w:r w:rsidR="002B174F">
        <w:rPr>
          <w:rFonts w:ascii="Times New Roman" w:eastAsia="Times New Roman" w:hAnsi="Times New Roman" w:cs="Times New Roman"/>
        </w:rPr>
        <w:t>It also asserts a trademark claim. Stability’s main defense hinges on fair use. It contends that its use of the images as training data is a transformative use, that is extracting non-copyrightable information, like styles and patterns, to create new outputs. They analogize this use to those involving search engine indexing or public domain archiving. Getty argues that Stability’s use is not transformative because the resulting image generator is a market substitute and directly competes with its licensing business.</w:t>
      </w:r>
      <w:r w:rsidR="00952D3F">
        <w:rPr>
          <w:rFonts w:ascii="Times New Roman" w:eastAsia="Times New Roman" w:hAnsi="Times New Roman" w:cs="Times New Roman"/>
        </w:rPr>
        <w:t xml:space="preserve"> </w:t>
      </w:r>
    </w:p>
    <w:p w14:paraId="1104FCBC" w14:textId="77777777" w:rsidR="00B760DB" w:rsidRDefault="00952D3F" w:rsidP="00B760DB">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 October 2025, the court</w:t>
      </w:r>
      <w:r w:rsidR="002B174F">
        <w:rPr>
          <w:rFonts w:ascii="Times New Roman" w:eastAsia="Times New Roman" w:hAnsi="Times New Roman" w:cs="Times New Roman"/>
        </w:rPr>
        <w:t xml:space="preserve"> </w:t>
      </w:r>
      <w:r>
        <w:rPr>
          <w:rFonts w:ascii="Times New Roman" w:eastAsia="Times New Roman" w:hAnsi="Times New Roman" w:cs="Times New Roman"/>
        </w:rPr>
        <w:t xml:space="preserve">dismissed several of plaintiff’s claims against the defendants. The court began its decision by stating: </w:t>
      </w:r>
    </w:p>
    <w:p w14:paraId="4DF0246C" w14:textId="1C62AFF5" w:rsidR="00B760DB" w:rsidRDefault="00952D3F" w:rsidP="00B760DB">
      <w:pPr>
        <w:spacing w:before="100" w:beforeAutospacing="1" w:after="100" w:afterAutospacing="1" w:line="240" w:lineRule="auto"/>
        <w:ind w:left="720"/>
        <w:rPr>
          <w:rFonts w:ascii="Times New Roman" w:eastAsia="Times New Roman" w:hAnsi="Times New Roman" w:cs="Times New Roman"/>
        </w:rPr>
      </w:pPr>
      <w:r>
        <w:rPr>
          <w:rFonts w:ascii="Times New Roman" w:eastAsia="Times New Roman" w:hAnsi="Times New Roman" w:cs="Times New Roman"/>
        </w:rPr>
        <w:t xml:space="preserve">This is a copyright case, raising important questions about the way that new </w:t>
      </w:r>
      <w:r w:rsidR="00B760DB" w:rsidRPr="00B760DB">
        <w:rPr>
          <w:rFonts w:ascii="Times New Roman" w:eastAsia="Times New Roman" w:hAnsi="Times New Roman" w:cs="Times New Roman"/>
        </w:rPr>
        <w:t>about the ways that new</w:t>
      </w:r>
      <w:r w:rsidR="00B760DB">
        <w:rPr>
          <w:rFonts w:ascii="Times New Roman" w:eastAsia="Times New Roman" w:hAnsi="Times New Roman" w:cs="Times New Roman"/>
        </w:rPr>
        <w:t xml:space="preserve"> </w:t>
      </w:r>
      <w:r w:rsidR="00B760DB" w:rsidRPr="00B760DB">
        <w:rPr>
          <w:rFonts w:ascii="Times New Roman" w:eastAsia="Times New Roman" w:hAnsi="Times New Roman" w:cs="Times New Roman"/>
        </w:rPr>
        <w:t>technological tools to aid human creativity can build on what has come before. This motion does</w:t>
      </w:r>
      <w:r w:rsidR="00B760DB">
        <w:rPr>
          <w:rFonts w:ascii="Times New Roman" w:eastAsia="Times New Roman" w:hAnsi="Times New Roman" w:cs="Times New Roman"/>
        </w:rPr>
        <w:t xml:space="preserve"> </w:t>
      </w:r>
      <w:r w:rsidR="00B760DB" w:rsidRPr="00B760DB">
        <w:rPr>
          <w:rFonts w:ascii="Times New Roman" w:eastAsia="Times New Roman" w:hAnsi="Times New Roman" w:cs="Times New Roman"/>
        </w:rPr>
        <w:t>not seek dismissal of Getty Images’ core copyright claim but instead seeks to clear the underbrush</w:t>
      </w:r>
      <w:r w:rsidR="00B760DB">
        <w:rPr>
          <w:rFonts w:ascii="Times New Roman" w:eastAsia="Times New Roman" w:hAnsi="Times New Roman" w:cs="Times New Roman"/>
        </w:rPr>
        <w:t xml:space="preserve"> </w:t>
      </w:r>
      <w:r w:rsidR="00B760DB" w:rsidRPr="00B760DB">
        <w:rPr>
          <w:rFonts w:ascii="Times New Roman" w:eastAsia="Times New Roman" w:hAnsi="Times New Roman" w:cs="Times New Roman"/>
        </w:rPr>
        <w:t>that will impede the efficient litigation of that claim.</w:t>
      </w:r>
      <w:r w:rsidR="00B760DB">
        <w:rPr>
          <w:rFonts w:ascii="Times New Roman" w:eastAsia="Times New Roman" w:hAnsi="Times New Roman" w:cs="Times New Roman"/>
        </w:rPr>
        <w:t xml:space="preserve"> </w:t>
      </w:r>
    </w:p>
    <w:p w14:paraId="1CD619EB" w14:textId="5851C11F" w:rsidR="00952D3F" w:rsidRDefault="00B760DB" w:rsidP="00B760DB">
      <w:pPr>
        <w:spacing w:before="100" w:beforeAutospacing="1" w:after="100" w:afterAutospacing="1" w:line="240" w:lineRule="auto"/>
        <w:ind w:left="720"/>
        <w:rPr>
          <w:rFonts w:ascii="Times New Roman" w:eastAsia="Times New Roman" w:hAnsi="Times New Roman" w:cs="Times New Roman"/>
        </w:rPr>
      </w:pPr>
      <w:r w:rsidRPr="00B760DB">
        <w:rPr>
          <w:rFonts w:ascii="Times New Roman" w:eastAsia="Times New Roman" w:hAnsi="Times New Roman" w:cs="Times New Roman"/>
        </w:rPr>
        <w:t>Instead of focusing on its central copyright claim, Getty appends six additional causes of</w:t>
      </w:r>
      <w:r>
        <w:rPr>
          <w:rFonts w:ascii="Times New Roman" w:eastAsia="Times New Roman" w:hAnsi="Times New Roman" w:cs="Times New Roman"/>
        </w:rPr>
        <w:t xml:space="preserve"> </w:t>
      </w:r>
      <w:r w:rsidRPr="00B760DB">
        <w:rPr>
          <w:rFonts w:ascii="Times New Roman" w:eastAsia="Times New Roman" w:hAnsi="Times New Roman" w:cs="Times New Roman"/>
        </w:rPr>
        <w:t>action (Claims II to VII) that attempt to stretch trademark, unfair competition, and the DMCA</w:t>
      </w:r>
      <w:r>
        <w:rPr>
          <w:rFonts w:ascii="Times New Roman" w:eastAsia="Times New Roman" w:hAnsi="Times New Roman" w:cs="Times New Roman"/>
        </w:rPr>
        <w:t xml:space="preserve"> </w:t>
      </w:r>
      <w:r w:rsidRPr="00B760DB">
        <w:rPr>
          <w:rFonts w:ascii="Times New Roman" w:eastAsia="Times New Roman" w:hAnsi="Times New Roman" w:cs="Times New Roman"/>
        </w:rPr>
        <w:t>beyond their intended bounds. Each of these ancillary claims is based on a fundamental</w:t>
      </w:r>
      <w:r>
        <w:rPr>
          <w:rFonts w:ascii="Times New Roman" w:eastAsia="Times New Roman" w:hAnsi="Times New Roman" w:cs="Times New Roman"/>
        </w:rPr>
        <w:t xml:space="preserve"> m</w:t>
      </w:r>
      <w:r w:rsidRPr="00B760DB">
        <w:rPr>
          <w:rFonts w:ascii="Times New Roman" w:eastAsia="Times New Roman" w:hAnsi="Times New Roman" w:cs="Times New Roman"/>
        </w:rPr>
        <w:t>ischaracterization of the facts and the law. They are predicated not on a deliberate business</w:t>
      </w:r>
      <w:r>
        <w:rPr>
          <w:rFonts w:ascii="Times New Roman" w:eastAsia="Times New Roman" w:hAnsi="Times New Roman" w:cs="Times New Roman"/>
        </w:rPr>
        <w:t xml:space="preserve"> </w:t>
      </w:r>
      <w:r w:rsidRPr="00B760DB">
        <w:rPr>
          <w:rFonts w:ascii="Times New Roman" w:eastAsia="Times New Roman" w:hAnsi="Times New Roman" w:cs="Times New Roman"/>
        </w:rPr>
        <w:t>practice by Stability AI, but on what amount to limited one-off instances of unusable output</w:t>
      </w:r>
      <w:r>
        <w:rPr>
          <w:rFonts w:ascii="Times New Roman" w:eastAsia="Times New Roman" w:hAnsi="Times New Roman" w:cs="Times New Roman"/>
        </w:rPr>
        <w:t xml:space="preserve"> </w:t>
      </w:r>
      <w:r w:rsidRPr="00B760DB">
        <w:rPr>
          <w:rFonts w:ascii="Times New Roman" w:eastAsia="Times New Roman" w:hAnsi="Times New Roman" w:cs="Times New Roman"/>
        </w:rPr>
        <w:t>images.</w:t>
      </w:r>
      <w:r>
        <w:rPr>
          <w:rStyle w:val="FootnoteReference"/>
          <w:rFonts w:ascii="Times New Roman" w:eastAsia="Times New Roman" w:hAnsi="Times New Roman" w:cs="Times New Roman"/>
        </w:rPr>
        <w:footnoteReference w:id="214"/>
      </w:r>
    </w:p>
    <w:p w14:paraId="55D3C949" w14:textId="1634E6EE" w:rsidR="00A81706" w:rsidRDefault="00B760DB"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lastRenderedPageBreak/>
        <w:t>The court then dismissed all of the defendants’ DMCA, trademark and unfair competition claims.</w:t>
      </w:r>
      <w:r w:rsidR="0036088A">
        <w:rPr>
          <w:rStyle w:val="FootnoteReference"/>
          <w:rFonts w:ascii="Times New Roman" w:eastAsia="Times New Roman" w:hAnsi="Times New Roman" w:cs="Times New Roman"/>
        </w:rPr>
        <w:footnoteReference w:id="215"/>
      </w:r>
      <w:r>
        <w:rPr>
          <w:rFonts w:ascii="Times New Roman" w:eastAsia="Times New Roman" w:hAnsi="Times New Roman" w:cs="Times New Roman"/>
        </w:rPr>
        <w:t xml:space="preserve"> Basically, all that remain are the copyright claims. </w:t>
      </w:r>
      <w:r w:rsidR="002B174F">
        <w:rPr>
          <w:rFonts w:ascii="Times New Roman" w:eastAsia="Times New Roman" w:hAnsi="Times New Roman" w:cs="Times New Roman"/>
        </w:rPr>
        <w:t>This is another of the major pending cases to keep an eye on.</w:t>
      </w:r>
    </w:p>
    <w:p w14:paraId="47315708" w14:textId="6C6AFE01" w:rsidR="002B174F" w:rsidRPr="00D247FF" w:rsidRDefault="00C623C2" w:rsidP="00A81706">
      <w:pPr>
        <w:spacing w:before="100" w:beforeAutospacing="1" w:after="100" w:afterAutospacing="1" w:line="240" w:lineRule="auto"/>
        <w:rPr>
          <w:rFonts w:ascii="Times New Roman" w:eastAsia="Times New Roman" w:hAnsi="Times New Roman" w:cs="Times New Roman"/>
        </w:rPr>
      </w:pPr>
      <w:r w:rsidRPr="00C623C2">
        <w:rPr>
          <w:rFonts w:ascii="Times New Roman" w:eastAsia="Times New Roman" w:hAnsi="Times New Roman" w:cs="Times New Roman"/>
        </w:rPr>
        <w:t>In a</w:t>
      </w:r>
      <w:r w:rsidR="00207542" w:rsidRPr="00C623C2">
        <w:rPr>
          <w:rFonts w:ascii="Times New Roman" w:eastAsia="Times New Roman" w:hAnsi="Times New Roman" w:cs="Times New Roman"/>
        </w:rPr>
        <w:t xml:space="preserve"> related </w:t>
      </w:r>
      <w:r w:rsidR="00707899" w:rsidRPr="00C623C2">
        <w:rPr>
          <w:rFonts w:ascii="Times New Roman" w:eastAsia="Times New Roman" w:hAnsi="Times New Roman" w:cs="Times New Roman"/>
        </w:rPr>
        <w:t xml:space="preserve">case, </w:t>
      </w:r>
      <w:r w:rsidR="00207542" w:rsidRPr="00C623C2">
        <w:rPr>
          <w:rFonts w:ascii="Times New Roman" w:eastAsia="Times New Roman" w:hAnsi="Times New Roman" w:cs="Times New Roman"/>
          <w:i/>
        </w:rPr>
        <w:t>Getty Images v. Stabil</w:t>
      </w:r>
      <w:r w:rsidR="0036088A">
        <w:rPr>
          <w:rFonts w:ascii="Times New Roman" w:eastAsia="Times New Roman" w:hAnsi="Times New Roman" w:cs="Times New Roman"/>
          <w:i/>
        </w:rPr>
        <w:t>i</w:t>
      </w:r>
      <w:r w:rsidR="00207542" w:rsidRPr="00C623C2">
        <w:rPr>
          <w:rFonts w:ascii="Times New Roman" w:eastAsia="Times New Roman" w:hAnsi="Times New Roman" w:cs="Times New Roman"/>
          <w:i/>
        </w:rPr>
        <w:t>ty AI</w:t>
      </w:r>
      <w:r w:rsidR="00707899" w:rsidRPr="00C623C2">
        <w:rPr>
          <w:rFonts w:ascii="Times New Roman" w:eastAsia="Times New Roman" w:hAnsi="Times New Roman" w:cs="Times New Roman"/>
        </w:rPr>
        <w:t>,</w:t>
      </w:r>
      <w:r w:rsidR="00207542" w:rsidRPr="00C623C2">
        <w:rPr>
          <w:rFonts w:ascii="Times New Roman" w:eastAsia="Times New Roman" w:hAnsi="Times New Roman" w:cs="Times New Roman"/>
        </w:rPr>
        <w:t xml:space="preserve"> was recently decided by the High Court</w:t>
      </w:r>
      <w:r w:rsidR="0036088A">
        <w:rPr>
          <w:rFonts w:ascii="Times New Roman" w:eastAsia="Times New Roman" w:hAnsi="Times New Roman" w:cs="Times New Roman"/>
        </w:rPr>
        <w:t xml:space="preserve"> of England and Wales</w:t>
      </w:r>
      <w:r w:rsidR="00207542">
        <w:rPr>
          <w:rFonts w:ascii="Times New Roman" w:eastAsia="Times New Roman" w:hAnsi="Times New Roman" w:cs="Times New Roman"/>
        </w:rPr>
        <w:t>.</w:t>
      </w:r>
      <w:r w:rsidR="00707899">
        <w:rPr>
          <w:rStyle w:val="FootnoteReference"/>
          <w:rFonts w:ascii="Times New Roman" w:eastAsia="Times New Roman" w:hAnsi="Times New Roman" w:cs="Times New Roman"/>
        </w:rPr>
        <w:footnoteReference w:id="216"/>
      </w:r>
      <w:r w:rsidR="00207542">
        <w:rPr>
          <w:rFonts w:ascii="Times New Roman" w:eastAsia="Times New Roman" w:hAnsi="Times New Roman" w:cs="Times New Roman"/>
        </w:rPr>
        <w:t xml:space="preserve"> </w:t>
      </w:r>
      <w:r w:rsidR="0036088A">
        <w:rPr>
          <w:rFonts w:ascii="Times New Roman" w:eastAsia="Times New Roman" w:hAnsi="Times New Roman" w:cs="Times New Roman"/>
        </w:rPr>
        <w:t xml:space="preserve">Prior to closing submissions, </w:t>
      </w:r>
      <w:r w:rsidR="00207542">
        <w:rPr>
          <w:rFonts w:ascii="Times New Roman" w:eastAsia="Times New Roman" w:hAnsi="Times New Roman" w:cs="Times New Roman"/>
        </w:rPr>
        <w:t xml:space="preserve">Getty had to abandon </w:t>
      </w:r>
      <w:r w:rsidR="0036088A">
        <w:rPr>
          <w:rFonts w:ascii="Times New Roman" w:eastAsia="Times New Roman" w:hAnsi="Times New Roman" w:cs="Times New Roman"/>
        </w:rPr>
        <w:t xml:space="preserve">most of </w:t>
      </w:r>
      <w:r w:rsidR="00207542">
        <w:rPr>
          <w:rFonts w:ascii="Times New Roman" w:eastAsia="Times New Roman" w:hAnsi="Times New Roman" w:cs="Times New Roman"/>
        </w:rPr>
        <w:t xml:space="preserve">its copyright claims because there was little evidence that the training </w:t>
      </w:r>
      <w:r w:rsidR="0036088A">
        <w:rPr>
          <w:rFonts w:ascii="Times New Roman" w:eastAsia="Times New Roman" w:hAnsi="Times New Roman" w:cs="Times New Roman"/>
        </w:rPr>
        <w:t xml:space="preserve">and development of Stable Diffusion </w:t>
      </w:r>
      <w:r w:rsidR="00207542">
        <w:rPr>
          <w:rFonts w:ascii="Times New Roman" w:eastAsia="Times New Roman" w:hAnsi="Times New Roman" w:cs="Times New Roman"/>
        </w:rPr>
        <w:t>took place in the UK. However, the court did rule in favor of Getty on some trademark claims because of Getty</w:t>
      </w:r>
      <w:r w:rsidR="004D2D55">
        <w:rPr>
          <w:rFonts w:ascii="Times New Roman" w:eastAsia="Times New Roman" w:hAnsi="Times New Roman" w:cs="Times New Roman"/>
        </w:rPr>
        <w:t>’s</w:t>
      </w:r>
      <w:r w:rsidR="00207542">
        <w:rPr>
          <w:rFonts w:ascii="Times New Roman" w:eastAsia="Times New Roman" w:hAnsi="Times New Roman" w:cs="Times New Roman"/>
        </w:rPr>
        <w:t xml:space="preserve"> watermarks that were found </w:t>
      </w:r>
      <w:r w:rsidR="0036088A">
        <w:rPr>
          <w:rFonts w:ascii="Times New Roman" w:eastAsia="Times New Roman" w:hAnsi="Times New Roman" w:cs="Times New Roman"/>
        </w:rPr>
        <w:t>in some</w:t>
      </w:r>
      <w:r w:rsidR="00207542">
        <w:rPr>
          <w:rFonts w:ascii="Times New Roman" w:eastAsia="Times New Roman" w:hAnsi="Times New Roman" w:cs="Times New Roman"/>
        </w:rPr>
        <w:t xml:space="preserve"> output from earlier version of the model.</w:t>
      </w:r>
      <w:r w:rsidR="00707899">
        <w:rPr>
          <w:rStyle w:val="FootnoteReference"/>
          <w:rFonts w:ascii="Times New Roman" w:eastAsia="Times New Roman" w:hAnsi="Times New Roman" w:cs="Times New Roman"/>
        </w:rPr>
        <w:footnoteReference w:id="217"/>
      </w:r>
    </w:p>
    <w:p w14:paraId="68392FEB" w14:textId="38045F32" w:rsidR="00DB4EC4" w:rsidRPr="00794BB3" w:rsidRDefault="00A81706" w:rsidP="00C36829">
      <w:pPr>
        <w:pStyle w:val="Heading4"/>
      </w:pPr>
      <w:bookmarkStart w:id="56" w:name="_Toc220693078"/>
      <w:r>
        <w:t>3</w:t>
      </w:r>
      <w:r w:rsidR="00DB4EC4" w:rsidRPr="00794BB3">
        <w:t>. Bartz v. Anthropic PBC</w:t>
      </w:r>
      <w:bookmarkEnd w:id="56"/>
    </w:p>
    <w:p w14:paraId="65C3F81F" w14:textId="61B98B15" w:rsidR="00F56208" w:rsidRDefault="00F56208" w:rsidP="005F1CF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 one of the most significant generative</w:t>
      </w:r>
      <w:r w:rsidR="00707899">
        <w:rPr>
          <w:rFonts w:ascii="Times New Roman" w:eastAsia="Times New Roman" w:hAnsi="Times New Roman" w:cs="Times New Roman"/>
        </w:rPr>
        <w:t xml:space="preserve"> </w:t>
      </w:r>
      <w:r>
        <w:rPr>
          <w:rFonts w:ascii="Times New Roman" w:eastAsia="Times New Roman" w:hAnsi="Times New Roman" w:cs="Times New Roman"/>
        </w:rPr>
        <w:t xml:space="preserve">AI cases to be decided, there was a major victory for AI companies – but with a </w:t>
      </w:r>
      <w:r w:rsidR="00802CB3">
        <w:rPr>
          <w:rFonts w:ascii="Times New Roman" w:eastAsia="Times New Roman" w:hAnsi="Times New Roman" w:cs="Times New Roman"/>
        </w:rPr>
        <w:t>significant</w:t>
      </w:r>
      <w:r>
        <w:rPr>
          <w:rFonts w:ascii="Times New Roman" w:eastAsia="Times New Roman" w:hAnsi="Times New Roman" w:cs="Times New Roman"/>
        </w:rPr>
        <w:t xml:space="preserve"> proviso. In </w:t>
      </w:r>
      <w:r w:rsidRPr="00802CB3">
        <w:rPr>
          <w:rFonts w:ascii="Times New Roman" w:eastAsia="Times New Roman" w:hAnsi="Times New Roman" w:cs="Times New Roman"/>
          <w:i/>
          <w:iCs/>
        </w:rPr>
        <w:t>Bartz v. Anthropic PBC</w:t>
      </w:r>
      <w:r>
        <w:rPr>
          <w:rFonts w:ascii="Times New Roman" w:eastAsia="Times New Roman" w:hAnsi="Times New Roman" w:cs="Times New Roman"/>
        </w:rPr>
        <w:t>,</w:t>
      </w:r>
      <w:r w:rsidR="00707899">
        <w:rPr>
          <w:rStyle w:val="FootnoteReference"/>
          <w:rFonts w:ascii="Times New Roman" w:eastAsia="Times New Roman" w:hAnsi="Times New Roman" w:cs="Times New Roman"/>
        </w:rPr>
        <w:footnoteReference w:id="218"/>
      </w:r>
      <w:r>
        <w:rPr>
          <w:rFonts w:ascii="Times New Roman" w:eastAsia="Times New Roman" w:hAnsi="Times New Roman" w:cs="Times New Roman"/>
        </w:rPr>
        <w:t xml:space="preserve"> the court issued a resounding </w:t>
      </w:r>
      <w:r w:rsidR="005B72E7">
        <w:rPr>
          <w:rFonts w:ascii="Times New Roman" w:eastAsia="Times New Roman" w:hAnsi="Times New Roman" w:cs="Times New Roman"/>
        </w:rPr>
        <w:t xml:space="preserve">summary judgment on </w:t>
      </w:r>
      <w:r>
        <w:rPr>
          <w:rFonts w:ascii="Times New Roman" w:eastAsia="Times New Roman" w:hAnsi="Times New Roman" w:cs="Times New Roman"/>
        </w:rPr>
        <w:t xml:space="preserve">fair use in favor of the defendant. </w:t>
      </w:r>
      <w:r w:rsidR="005B72E7">
        <w:rPr>
          <w:rFonts w:ascii="Times New Roman" w:eastAsia="Times New Roman" w:hAnsi="Times New Roman" w:cs="Times New Roman"/>
        </w:rPr>
        <w:t>In order to train its AI software tool, Claude, Anthropic spent millio</w:t>
      </w:r>
      <w:r w:rsidR="00B02372">
        <w:rPr>
          <w:rFonts w:ascii="Times New Roman" w:eastAsia="Times New Roman" w:hAnsi="Times New Roman" w:cs="Times New Roman"/>
        </w:rPr>
        <w:t>ns</w:t>
      </w:r>
      <w:r w:rsidR="005B72E7">
        <w:rPr>
          <w:rFonts w:ascii="Times New Roman" w:eastAsia="Times New Roman" w:hAnsi="Times New Roman" w:cs="Times New Roman"/>
        </w:rPr>
        <w:t xml:space="preserve"> of dollars to acquire millions of books. It cut the pages of the books into scannable images and discarded the books. Training sets were carefully curated, pages were cleaned, tokens were generated and processed. In the end, there </w:t>
      </w:r>
      <w:r w:rsidR="00802CB3">
        <w:rPr>
          <w:rFonts w:ascii="Times New Roman" w:eastAsia="Times New Roman" w:hAnsi="Times New Roman" w:cs="Times New Roman"/>
        </w:rPr>
        <w:t>was</w:t>
      </w:r>
      <w:r w:rsidR="005B72E7">
        <w:rPr>
          <w:rFonts w:ascii="Times New Roman" w:eastAsia="Times New Roman" w:hAnsi="Times New Roman" w:cs="Times New Roman"/>
        </w:rPr>
        <w:t xml:space="preserve"> nothing traceable to the authors’ works.</w:t>
      </w:r>
      <w:r w:rsidR="00597729">
        <w:rPr>
          <w:rFonts w:ascii="Times New Roman" w:eastAsia="Times New Roman" w:hAnsi="Times New Roman" w:cs="Times New Roman"/>
        </w:rPr>
        <w:t xml:space="preserve"> The court granted summary judgment to Anthropic holding that its use of the books to rain Claude “was exceedingly transformative and was a fair use.”</w:t>
      </w:r>
      <w:r w:rsidR="000D4BC5">
        <w:rPr>
          <w:rStyle w:val="FootnoteReference"/>
          <w:rFonts w:ascii="Times New Roman" w:eastAsia="Times New Roman" w:hAnsi="Times New Roman" w:cs="Times New Roman"/>
        </w:rPr>
        <w:footnoteReference w:id="219"/>
      </w:r>
      <w:r w:rsidR="00597729">
        <w:rPr>
          <w:rFonts w:ascii="Times New Roman" w:eastAsia="Times New Roman" w:hAnsi="Times New Roman" w:cs="Times New Roman"/>
        </w:rPr>
        <w:t xml:space="preserve"> It further held that it was also fair use for Anthropic “to replace the print copies it had purchased . . . with more convenient space-saving and searchable digital copies for its central library.”</w:t>
      </w:r>
      <w:r w:rsidR="000D4BC5">
        <w:rPr>
          <w:rStyle w:val="FootnoteReference"/>
          <w:rFonts w:ascii="Times New Roman" w:eastAsia="Times New Roman" w:hAnsi="Times New Roman" w:cs="Times New Roman"/>
        </w:rPr>
        <w:footnoteReference w:id="220"/>
      </w:r>
    </w:p>
    <w:p w14:paraId="2755EA21" w14:textId="3669DEFE" w:rsidR="00802CB3" w:rsidRDefault="00802CB3" w:rsidP="005F1CF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After a thorough examination of the four fair use factors, the court held that the copies used to train the AI were justified as fair use</w:t>
      </w:r>
      <w:r w:rsidR="000D4BC5">
        <w:rPr>
          <w:rFonts w:ascii="Times New Roman" w:eastAsia="Times New Roman" w:hAnsi="Times New Roman" w:cs="Times New Roman"/>
        </w:rPr>
        <w:t xml:space="preserve">, with all but the second </w:t>
      </w:r>
      <w:r>
        <w:rPr>
          <w:rFonts w:ascii="Times New Roman" w:eastAsia="Times New Roman" w:hAnsi="Times New Roman" w:cs="Times New Roman"/>
        </w:rPr>
        <w:t>factor favo</w:t>
      </w:r>
      <w:r w:rsidR="000D4BC5">
        <w:rPr>
          <w:rFonts w:ascii="Times New Roman" w:eastAsia="Times New Roman" w:hAnsi="Times New Roman" w:cs="Times New Roman"/>
        </w:rPr>
        <w:t>ring that result.</w:t>
      </w:r>
      <w:r w:rsidR="000D4BC5">
        <w:rPr>
          <w:rStyle w:val="FootnoteReference"/>
          <w:rFonts w:ascii="Times New Roman" w:eastAsia="Times New Roman" w:hAnsi="Times New Roman" w:cs="Times New Roman"/>
        </w:rPr>
        <w:footnoteReference w:id="221"/>
      </w:r>
      <w:r w:rsidR="000D4BC5">
        <w:rPr>
          <w:rFonts w:ascii="Times New Roman" w:eastAsia="Times New Roman" w:hAnsi="Times New Roman" w:cs="Times New Roman"/>
        </w:rPr>
        <w:t xml:space="preserve"> </w:t>
      </w:r>
      <w:r w:rsidR="00707899">
        <w:rPr>
          <w:rFonts w:ascii="Times New Roman" w:eastAsia="Times New Roman" w:hAnsi="Times New Roman" w:cs="Times New Roman"/>
        </w:rPr>
        <w:t>The court stated that the “</w:t>
      </w:r>
      <w:r w:rsidR="000D4BC5">
        <w:rPr>
          <w:rFonts w:ascii="Times New Roman" w:eastAsia="Times New Roman" w:hAnsi="Times New Roman" w:cs="Times New Roman"/>
        </w:rPr>
        <w:t>technology at issue was among the most transformative many of us will see in our lifetimes.”</w:t>
      </w:r>
      <w:r w:rsidR="000D4BC5">
        <w:rPr>
          <w:rStyle w:val="FootnoteReference"/>
          <w:rFonts w:ascii="Times New Roman" w:eastAsia="Times New Roman" w:hAnsi="Times New Roman" w:cs="Times New Roman"/>
        </w:rPr>
        <w:footnoteReference w:id="222"/>
      </w:r>
      <w:r>
        <w:rPr>
          <w:rFonts w:ascii="Times New Roman" w:eastAsia="Times New Roman" w:hAnsi="Times New Roman" w:cs="Times New Roman"/>
        </w:rPr>
        <w:t xml:space="preserve"> </w:t>
      </w:r>
      <w:r w:rsidR="000D4BC5">
        <w:rPr>
          <w:rFonts w:ascii="Times New Roman" w:eastAsia="Times New Roman" w:hAnsi="Times New Roman" w:cs="Times New Roman"/>
        </w:rPr>
        <w:t>The court held that the copies used to convert the purchased print library into a digital library was also a fair use, favored by factors one and three.</w:t>
      </w:r>
      <w:r w:rsidR="000D4BC5">
        <w:rPr>
          <w:rStyle w:val="FootnoteReference"/>
          <w:rFonts w:ascii="Times New Roman" w:eastAsia="Times New Roman" w:hAnsi="Times New Roman" w:cs="Times New Roman"/>
        </w:rPr>
        <w:footnoteReference w:id="223"/>
      </w:r>
    </w:p>
    <w:p w14:paraId="0012B1BC" w14:textId="18E5FACB" w:rsidR="00DB4EC4" w:rsidRDefault="004C2F41" w:rsidP="005F1CF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However</w:t>
      </w:r>
      <w:r w:rsidR="000D4BC5">
        <w:rPr>
          <w:rFonts w:ascii="Times New Roman" w:eastAsia="Times New Roman" w:hAnsi="Times New Roman" w:cs="Times New Roman"/>
        </w:rPr>
        <w:t xml:space="preserve">, </w:t>
      </w:r>
      <w:r>
        <w:rPr>
          <w:rFonts w:ascii="Times New Roman" w:eastAsia="Times New Roman" w:hAnsi="Times New Roman" w:cs="Times New Roman"/>
        </w:rPr>
        <w:t xml:space="preserve">in a decision </w:t>
      </w:r>
      <w:r w:rsidR="00216088">
        <w:rPr>
          <w:rFonts w:ascii="Times New Roman" w:eastAsia="Times New Roman" w:hAnsi="Times New Roman" w:cs="Times New Roman"/>
        </w:rPr>
        <w:t>with severe ramifications</w:t>
      </w:r>
      <w:r>
        <w:rPr>
          <w:rFonts w:ascii="Times New Roman" w:eastAsia="Times New Roman" w:hAnsi="Times New Roman" w:cs="Times New Roman"/>
        </w:rPr>
        <w:t xml:space="preserve">, the court denied summary judgment with respect to the seven million pirated copies of </w:t>
      </w:r>
      <w:r w:rsidR="00485319">
        <w:rPr>
          <w:rFonts w:ascii="Times New Roman" w:eastAsia="Times New Roman" w:hAnsi="Times New Roman" w:cs="Times New Roman"/>
        </w:rPr>
        <w:t>books and</w:t>
      </w:r>
      <w:r>
        <w:rPr>
          <w:rFonts w:ascii="Times New Roman" w:eastAsia="Times New Roman" w:hAnsi="Times New Roman" w:cs="Times New Roman"/>
        </w:rPr>
        <w:t xml:space="preserve"> ordered a trial on the pirated copies “and the resulting damages, actual or statutory (including for willfulness).”</w:t>
      </w:r>
      <w:r>
        <w:rPr>
          <w:rStyle w:val="FootnoteReference"/>
          <w:rFonts w:ascii="Times New Roman" w:eastAsia="Times New Roman" w:hAnsi="Times New Roman" w:cs="Times New Roman"/>
        </w:rPr>
        <w:footnoteReference w:id="224"/>
      </w:r>
      <w:r w:rsidR="00485319">
        <w:rPr>
          <w:rFonts w:ascii="Times New Roman" w:eastAsia="Times New Roman" w:hAnsi="Times New Roman" w:cs="Times New Roman"/>
        </w:rPr>
        <w:t xml:space="preserve"> </w:t>
      </w:r>
      <w:r w:rsidR="00BC7197">
        <w:rPr>
          <w:rFonts w:ascii="Times New Roman" w:eastAsia="Times New Roman" w:hAnsi="Times New Roman" w:cs="Times New Roman"/>
        </w:rPr>
        <w:t>Before the tr</w:t>
      </w:r>
      <w:r w:rsidR="005D749D">
        <w:rPr>
          <w:rFonts w:ascii="Times New Roman" w:eastAsia="Times New Roman" w:hAnsi="Times New Roman" w:cs="Times New Roman"/>
        </w:rPr>
        <w:t>ial</w:t>
      </w:r>
      <w:r w:rsidR="00485319">
        <w:rPr>
          <w:rFonts w:ascii="Times New Roman" w:eastAsia="Times New Roman" w:hAnsi="Times New Roman" w:cs="Times New Roman"/>
        </w:rPr>
        <w:t xml:space="preserve">, </w:t>
      </w:r>
      <w:r w:rsidR="00BC7197">
        <w:rPr>
          <w:rFonts w:ascii="Times New Roman" w:eastAsia="Times New Roman" w:hAnsi="Times New Roman" w:cs="Times New Roman"/>
        </w:rPr>
        <w:t xml:space="preserve">the court </w:t>
      </w:r>
      <w:r w:rsidR="00792CA4">
        <w:rPr>
          <w:rFonts w:ascii="Times New Roman" w:eastAsia="Times New Roman" w:hAnsi="Times New Roman" w:cs="Times New Roman"/>
        </w:rPr>
        <w:t>proposed</w:t>
      </w:r>
      <w:r w:rsidR="00BC7197">
        <w:rPr>
          <w:rFonts w:ascii="Times New Roman" w:eastAsia="Times New Roman" w:hAnsi="Times New Roman" w:cs="Times New Roman"/>
        </w:rPr>
        <w:t xml:space="preserve"> a class action settlement </w:t>
      </w:r>
      <w:r w:rsidR="007A2A16">
        <w:rPr>
          <w:rFonts w:ascii="Times New Roman" w:eastAsia="Times New Roman" w:hAnsi="Times New Roman" w:cs="Times New Roman"/>
        </w:rPr>
        <w:t xml:space="preserve">of $1.5 billion, in effect $3,000 for each infringed work. </w:t>
      </w:r>
      <w:r w:rsidR="00CC1C3E">
        <w:rPr>
          <w:rFonts w:ascii="Times New Roman" w:eastAsia="Times New Roman" w:hAnsi="Times New Roman" w:cs="Times New Roman"/>
        </w:rPr>
        <w:lastRenderedPageBreak/>
        <w:t>I</w:t>
      </w:r>
      <w:r w:rsidR="00485319">
        <w:rPr>
          <w:rFonts w:ascii="Times New Roman" w:eastAsia="Times New Roman" w:hAnsi="Times New Roman" w:cs="Times New Roman"/>
        </w:rPr>
        <w:t>n October 2025</w:t>
      </w:r>
      <w:r w:rsidR="00CC1C3E">
        <w:rPr>
          <w:rFonts w:ascii="Times New Roman" w:eastAsia="Times New Roman" w:hAnsi="Times New Roman" w:cs="Times New Roman"/>
        </w:rPr>
        <w:t>, the court gave preliminary approval to the settlement,</w:t>
      </w:r>
      <w:r w:rsidR="00CC1C3E">
        <w:rPr>
          <w:rStyle w:val="FootnoteReference"/>
          <w:rFonts w:ascii="Times New Roman" w:eastAsia="Times New Roman" w:hAnsi="Times New Roman" w:cs="Times New Roman"/>
        </w:rPr>
        <w:footnoteReference w:id="225"/>
      </w:r>
      <w:r w:rsidR="00CC1C3E">
        <w:rPr>
          <w:rFonts w:ascii="Times New Roman" w:eastAsia="Times New Roman" w:hAnsi="Times New Roman" w:cs="Times New Roman"/>
        </w:rPr>
        <w:t xml:space="preserve"> </w:t>
      </w:r>
      <w:r w:rsidR="00792CA4">
        <w:rPr>
          <w:rFonts w:ascii="Times New Roman" w:eastAsia="Times New Roman" w:hAnsi="Times New Roman" w:cs="Times New Roman"/>
        </w:rPr>
        <w:t>the largest resolution of a copyright case in U.S. history.</w:t>
      </w:r>
    </w:p>
    <w:p w14:paraId="2DA3D7E3" w14:textId="0F012C06" w:rsidR="007A2A16" w:rsidRDefault="007A2A16" w:rsidP="005F1CF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Among the several significant ramifications of the case: 1) </w:t>
      </w:r>
      <w:r w:rsidR="00707899">
        <w:rPr>
          <w:rFonts w:ascii="Times New Roman" w:eastAsia="Times New Roman" w:hAnsi="Times New Roman" w:cs="Times New Roman"/>
        </w:rPr>
        <w:t xml:space="preserve">it is </w:t>
      </w:r>
      <w:r>
        <w:rPr>
          <w:rFonts w:ascii="Times New Roman" w:eastAsia="Times New Roman" w:hAnsi="Times New Roman" w:cs="Times New Roman"/>
        </w:rPr>
        <w:t xml:space="preserve">a strong decision that training on copyrighted works is likely a fair use; 2) </w:t>
      </w:r>
      <w:r w:rsidR="00707899">
        <w:rPr>
          <w:rFonts w:ascii="Times New Roman" w:eastAsia="Times New Roman" w:hAnsi="Times New Roman" w:cs="Times New Roman"/>
        </w:rPr>
        <w:t xml:space="preserve">it is </w:t>
      </w:r>
      <w:r>
        <w:rPr>
          <w:rFonts w:ascii="Times New Roman" w:eastAsia="Times New Roman" w:hAnsi="Times New Roman" w:cs="Times New Roman"/>
        </w:rPr>
        <w:t xml:space="preserve">a strong indictment against the use of pirated works; 3) </w:t>
      </w:r>
      <w:r w:rsidR="00707899">
        <w:rPr>
          <w:rFonts w:ascii="Times New Roman" w:eastAsia="Times New Roman" w:hAnsi="Times New Roman" w:cs="Times New Roman"/>
        </w:rPr>
        <w:t xml:space="preserve">it may set </w:t>
      </w:r>
      <w:r>
        <w:rPr>
          <w:rFonts w:ascii="Times New Roman" w:eastAsia="Times New Roman" w:hAnsi="Times New Roman" w:cs="Times New Roman"/>
        </w:rPr>
        <w:t xml:space="preserve">a floor for such copyright violations ($3,000 per work); 4) </w:t>
      </w:r>
      <w:r w:rsidR="00707899">
        <w:rPr>
          <w:rFonts w:ascii="Times New Roman" w:eastAsia="Times New Roman" w:hAnsi="Times New Roman" w:cs="Times New Roman"/>
        </w:rPr>
        <w:t xml:space="preserve">it illustrates the </w:t>
      </w:r>
      <w:r>
        <w:rPr>
          <w:rFonts w:ascii="Times New Roman" w:eastAsia="Times New Roman" w:hAnsi="Times New Roman" w:cs="Times New Roman"/>
        </w:rPr>
        <w:t xml:space="preserve">existential risk for all but the largest companies; and 5) </w:t>
      </w:r>
      <w:r w:rsidR="00707899">
        <w:rPr>
          <w:rFonts w:ascii="Times New Roman" w:eastAsia="Times New Roman" w:hAnsi="Times New Roman" w:cs="Times New Roman"/>
        </w:rPr>
        <w:t xml:space="preserve">it marks </w:t>
      </w:r>
      <w:r>
        <w:rPr>
          <w:rFonts w:ascii="Times New Roman" w:eastAsia="Times New Roman" w:hAnsi="Times New Roman" w:cs="Times New Roman"/>
        </w:rPr>
        <w:t>a strong push towards the creation of a licensing market for works used in AI training.</w:t>
      </w:r>
    </w:p>
    <w:p w14:paraId="1F17B4E4" w14:textId="4B8815BB" w:rsidR="00A81706" w:rsidRDefault="00A81706" w:rsidP="004E2A2F">
      <w:pPr>
        <w:pStyle w:val="Heading4"/>
        <w:spacing w:before="0" w:after="0" w:line="240" w:lineRule="auto"/>
      </w:pPr>
      <w:bookmarkStart w:id="57" w:name="_Toc220693079"/>
      <w:r>
        <w:t>4</w:t>
      </w:r>
      <w:r w:rsidRPr="00794BB3">
        <w:t xml:space="preserve">. </w:t>
      </w:r>
      <w:r>
        <w:t>Kadrey v. Meta</w:t>
      </w:r>
      <w:bookmarkEnd w:id="57"/>
    </w:p>
    <w:p w14:paraId="1BBA1156" w14:textId="77777777" w:rsidR="004E2A2F" w:rsidRDefault="004E2A2F" w:rsidP="00A81706">
      <w:pPr>
        <w:rPr>
          <w:rFonts w:ascii="Times New Roman" w:eastAsia="Times New Roman" w:hAnsi="Times New Roman" w:cs="Times New Roman"/>
        </w:rPr>
      </w:pPr>
    </w:p>
    <w:p w14:paraId="1A1F67D3" w14:textId="3078DDCA" w:rsidR="008F3A85" w:rsidRDefault="006B2C0E" w:rsidP="004E2A2F">
      <w:pPr>
        <w:spacing w:after="0" w:line="240" w:lineRule="auto"/>
        <w:rPr>
          <w:rFonts w:ascii="Times New Roman" w:eastAsia="Times New Roman" w:hAnsi="Times New Roman" w:cs="Times New Roman"/>
        </w:rPr>
      </w:pPr>
      <w:r w:rsidRPr="004E2A2F">
        <w:rPr>
          <w:rFonts w:ascii="Times New Roman" w:eastAsia="Times New Roman" w:hAnsi="Times New Roman" w:cs="Times New Roman"/>
        </w:rPr>
        <w:t xml:space="preserve">In another decision in favor of companies </w:t>
      </w:r>
      <w:r w:rsidR="008F3A85">
        <w:rPr>
          <w:rFonts w:ascii="Times New Roman" w:eastAsia="Times New Roman" w:hAnsi="Times New Roman" w:cs="Times New Roman"/>
        </w:rPr>
        <w:t>training</w:t>
      </w:r>
      <w:r w:rsidRPr="004E2A2F">
        <w:rPr>
          <w:rFonts w:ascii="Times New Roman" w:eastAsia="Times New Roman" w:hAnsi="Times New Roman" w:cs="Times New Roman"/>
        </w:rPr>
        <w:t xml:space="preserve"> generative</w:t>
      </w:r>
      <w:r w:rsidR="00B95D43">
        <w:rPr>
          <w:rFonts w:ascii="Times New Roman" w:eastAsia="Times New Roman" w:hAnsi="Times New Roman" w:cs="Times New Roman"/>
        </w:rPr>
        <w:t xml:space="preserve"> </w:t>
      </w:r>
      <w:r w:rsidRPr="004E2A2F">
        <w:rPr>
          <w:rFonts w:ascii="Times New Roman" w:eastAsia="Times New Roman" w:hAnsi="Times New Roman" w:cs="Times New Roman"/>
        </w:rPr>
        <w:t>AI</w:t>
      </w:r>
      <w:r w:rsidR="008F3A85">
        <w:rPr>
          <w:rFonts w:ascii="Times New Roman" w:eastAsia="Times New Roman" w:hAnsi="Times New Roman" w:cs="Times New Roman"/>
        </w:rPr>
        <w:t xml:space="preserve"> products with massive amounts of copyrighted works</w:t>
      </w:r>
      <w:r w:rsidRPr="004E2A2F">
        <w:rPr>
          <w:rFonts w:ascii="Times New Roman" w:eastAsia="Times New Roman" w:hAnsi="Times New Roman" w:cs="Times New Roman"/>
        </w:rPr>
        <w:t xml:space="preserve">, </w:t>
      </w:r>
      <w:r w:rsidRPr="004E2A2F">
        <w:rPr>
          <w:rFonts w:ascii="Times New Roman" w:eastAsia="Times New Roman" w:hAnsi="Times New Roman" w:cs="Times New Roman"/>
          <w:i/>
          <w:iCs/>
        </w:rPr>
        <w:t>Kadrey v. Meta Platforms, Inc.</w:t>
      </w:r>
      <w:r w:rsidRPr="004E2A2F">
        <w:rPr>
          <w:rFonts w:ascii="Times New Roman" w:eastAsia="Times New Roman" w:hAnsi="Times New Roman" w:cs="Times New Roman"/>
        </w:rPr>
        <w:t xml:space="preserve">, </w:t>
      </w:r>
      <w:r w:rsidR="00B95D43">
        <w:rPr>
          <w:rFonts w:ascii="Times New Roman" w:eastAsia="Times New Roman" w:hAnsi="Times New Roman" w:cs="Times New Roman"/>
        </w:rPr>
        <w:t xml:space="preserve">the court </w:t>
      </w:r>
      <w:r w:rsidRPr="004E2A2F">
        <w:rPr>
          <w:rFonts w:ascii="Times New Roman" w:eastAsia="Times New Roman" w:hAnsi="Times New Roman" w:cs="Times New Roman"/>
        </w:rPr>
        <w:t>granted defendant’s motion for summary judgment</w:t>
      </w:r>
      <w:r w:rsidR="004E2A2F">
        <w:rPr>
          <w:rFonts w:ascii="Times New Roman" w:eastAsia="Times New Roman" w:hAnsi="Times New Roman" w:cs="Times New Roman"/>
        </w:rPr>
        <w:t xml:space="preserve"> </w:t>
      </w:r>
      <w:r w:rsidR="004E2A2F" w:rsidRPr="004E2A2F">
        <w:rPr>
          <w:rFonts w:ascii="Times New Roman" w:eastAsia="Times New Roman" w:hAnsi="Times New Roman" w:cs="Times New Roman"/>
        </w:rPr>
        <w:t>on the issue of whether defendant’s copying of plai</w:t>
      </w:r>
      <w:r w:rsidR="004E2A2F">
        <w:rPr>
          <w:rFonts w:ascii="Times New Roman" w:eastAsia="Times New Roman" w:hAnsi="Times New Roman" w:cs="Times New Roman"/>
        </w:rPr>
        <w:t>nti</w:t>
      </w:r>
      <w:r w:rsidR="004E2A2F" w:rsidRPr="004E2A2F">
        <w:rPr>
          <w:rFonts w:ascii="Times New Roman" w:eastAsia="Times New Roman" w:hAnsi="Times New Roman" w:cs="Times New Roman"/>
        </w:rPr>
        <w:t>ffs’ works from “shadow libraries”</w:t>
      </w:r>
      <w:r w:rsidR="004E2A2F">
        <w:rPr>
          <w:rFonts w:ascii="Times New Roman" w:eastAsia="Times New Roman" w:hAnsi="Times New Roman" w:cs="Times New Roman"/>
        </w:rPr>
        <w:t xml:space="preserve"> and without their permission was a fair</w:t>
      </w:r>
      <w:r w:rsidR="008F3A85">
        <w:rPr>
          <w:rFonts w:ascii="Times New Roman" w:eastAsia="Times New Roman" w:hAnsi="Times New Roman" w:cs="Times New Roman"/>
        </w:rPr>
        <w:t xml:space="preserve"> use.</w:t>
      </w:r>
      <w:r w:rsidR="008F3A85">
        <w:rPr>
          <w:rStyle w:val="FootnoteReference"/>
          <w:rFonts w:ascii="Times New Roman" w:eastAsia="Times New Roman" w:hAnsi="Times New Roman" w:cs="Times New Roman"/>
        </w:rPr>
        <w:footnoteReference w:id="226"/>
      </w:r>
      <w:r w:rsidR="008F3A85">
        <w:rPr>
          <w:rFonts w:ascii="Times New Roman" w:eastAsia="Times New Roman" w:hAnsi="Times New Roman" w:cs="Times New Roman"/>
        </w:rPr>
        <w:t xml:space="preserve"> The court seemed somewhat reluctant to find for defendant: </w:t>
      </w:r>
    </w:p>
    <w:p w14:paraId="26BE140E" w14:textId="77777777" w:rsidR="008F3A85" w:rsidRDefault="008F3A85" w:rsidP="004E2A2F">
      <w:pPr>
        <w:spacing w:after="0" w:line="240" w:lineRule="auto"/>
        <w:rPr>
          <w:rFonts w:ascii="Times New Roman" w:eastAsia="Times New Roman" w:hAnsi="Times New Roman" w:cs="Times New Roman"/>
        </w:rPr>
      </w:pPr>
    </w:p>
    <w:p w14:paraId="511C2FD5" w14:textId="27E15411" w:rsidR="008F3A85" w:rsidRDefault="008F3A85" w:rsidP="008F3A85">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Given the state of the record, the Court has no choice but to grant summary judgment to Meta on the plaintiffs claim that the company violated copyright law by training its models with their books. But in the grand theme of things, the consequences of this ruling are limited. This is not a class action, so the ruling only affects the rights of these thirteen authors-not the countless others whose works Meta used to train its models. And as we should now be clea</w:t>
      </w:r>
      <w:r w:rsidR="003350BF">
        <w:rPr>
          <w:rFonts w:ascii="Times New Roman" w:eastAsia="Times New Roman" w:hAnsi="Times New Roman" w:cs="Times New Roman"/>
        </w:rPr>
        <w:t>r</w:t>
      </w:r>
      <w:r>
        <w:rPr>
          <w:rFonts w:ascii="Times New Roman" w:eastAsia="Times New Roman" w:hAnsi="Times New Roman" w:cs="Times New Roman"/>
        </w:rPr>
        <w:t xml:space="preserve">, this ruling does not stand for the proposition that Meta’s use of the copyrighted material to train its language models is lawful. It stands only for the proposition that these plaintiffs made the wrong </w:t>
      </w:r>
      <w:r w:rsidR="005B62D5">
        <w:rPr>
          <w:rFonts w:ascii="Times New Roman" w:eastAsia="Times New Roman" w:hAnsi="Times New Roman" w:cs="Times New Roman"/>
        </w:rPr>
        <w:t>arguments</w:t>
      </w:r>
      <w:r>
        <w:rPr>
          <w:rFonts w:ascii="Times New Roman" w:eastAsia="Times New Roman" w:hAnsi="Times New Roman" w:cs="Times New Roman"/>
        </w:rPr>
        <w:t xml:space="preserve"> </w:t>
      </w:r>
      <w:r w:rsidR="005B62D5">
        <w:rPr>
          <w:rFonts w:ascii="Times New Roman" w:eastAsia="Times New Roman" w:hAnsi="Times New Roman" w:cs="Times New Roman"/>
        </w:rPr>
        <w:t xml:space="preserve">and </w:t>
      </w:r>
      <w:r>
        <w:rPr>
          <w:rFonts w:ascii="Times New Roman" w:eastAsia="Times New Roman" w:hAnsi="Times New Roman" w:cs="Times New Roman"/>
        </w:rPr>
        <w:t>failed to develop a record in support of the right one.</w:t>
      </w:r>
      <w:r w:rsidR="00B95D43">
        <w:rPr>
          <w:rStyle w:val="FootnoteReference"/>
          <w:rFonts w:ascii="Times New Roman" w:eastAsia="Times New Roman" w:hAnsi="Times New Roman" w:cs="Times New Roman"/>
        </w:rPr>
        <w:footnoteReference w:id="227"/>
      </w:r>
    </w:p>
    <w:p w14:paraId="35B7F21D" w14:textId="77777777" w:rsidR="008F3A85" w:rsidRDefault="008F3A85" w:rsidP="008F3A85">
      <w:pPr>
        <w:spacing w:after="0" w:line="240" w:lineRule="auto"/>
        <w:rPr>
          <w:rFonts w:ascii="Times New Roman" w:eastAsia="Times New Roman" w:hAnsi="Times New Roman" w:cs="Times New Roman"/>
        </w:rPr>
      </w:pPr>
    </w:p>
    <w:p w14:paraId="7F03BD11" w14:textId="4A7351BD" w:rsidR="00D218B6" w:rsidRDefault="005B62D5" w:rsidP="008F3A85">
      <w:pPr>
        <w:spacing w:after="0" w:line="240" w:lineRule="auto"/>
        <w:rPr>
          <w:rFonts w:ascii="Times New Roman" w:eastAsia="Times New Roman" w:hAnsi="Times New Roman" w:cs="Times New Roman"/>
        </w:rPr>
      </w:pPr>
      <w:r>
        <w:rPr>
          <w:rFonts w:ascii="Times New Roman" w:eastAsia="Times New Roman" w:hAnsi="Times New Roman" w:cs="Times New Roman"/>
        </w:rPr>
        <w:t>In examining fair use factor one, the court rejected plaintiffs’ argument that because defendant downloaded books from shadow libraries rather than obtain an “authorized copy,” they should automatically win.</w:t>
      </w:r>
      <w:r w:rsidR="00B21FB3">
        <w:rPr>
          <w:rStyle w:val="FootnoteReference"/>
          <w:rFonts w:ascii="Times New Roman" w:eastAsia="Times New Roman" w:hAnsi="Times New Roman" w:cs="Times New Roman"/>
        </w:rPr>
        <w:footnoteReference w:id="228"/>
      </w:r>
      <w:r>
        <w:rPr>
          <w:rFonts w:ascii="Times New Roman" w:eastAsia="Times New Roman" w:hAnsi="Times New Roman" w:cs="Times New Roman"/>
        </w:rPr>
        <w:t xml:space="preserve"> The court stated that to deem defendant’s act as “piracy” and eliminate a fair use claim would negate the whole point of fair use analysis – to determine whether a given act of copying was unlawful.</w:t>
      </w:r>
      <w:r w:rsidR="00B21FB3">
        <w:rPr>
          <w:rStyle w:val="FootnoteReference"/>
          <w:rFonts w:ascii="Times New Roman" w:eastAsia="Times New Roman" w:hAnsi="Times New Roman" w:cs="Times New Roman"/>
        </w:rPr>
        <w:footnoteReference w:id="229"/>
      </w:r>
      <w:r>
        <w:rPr>
          <w:rFonts w:ascii="Times New Roman" w:eastAsia="Times New Roman" w:hAnsi="Times New Roman" w:cs="Times New Roman"/>
        </w:rPr>
        <w:t xml:space="preserve"> The court held that downloading must still be considered in light of its ultimate purpose, the training of Llama, defendant’s AI tool.</w:t>
      </w:r>
      <w:r w:rsidR="00B21FB3">
        <w:rPr>
          <w:rStyle w:val="FootnoteReference"/>
          <w:rFonts w:ascii="Times New Roman" w:eastAsia="Times New Roman" w:hAnsi="Times New Roman" w:cs="Times New Roman"/>
        </w:rPr>
        <w:footnoteReference w:id="230"/>
      </w:r>
      <w:r>
        <w:rPr>
          <w:rFonts w:ascii="Times New Roman" w:eastAsia="Times New Roman" w:hAnsi="Times New Roman" w:cs="Times New Roman"/>
        </w:rPr>
        <w:t xml:space="preserve"> Because defendant’s ultimate use of the downloaded books was transformative, so was the downloading. The court found factor two in plaintiff’s favor, but factor three in defendant’s favor because there would be no point in training a model on less than a whole book.</w:t>
      </w:r>
      <w:r w:rsidR="00B21FB3">
        <w:rPr>
          <w:rStyle w:val="FootnoteReference"/>
          <w:rFonts w:ascii="Times New Roman" w:eastAsia="Times New Roman" w:hAnsi="Times New Roman" w:cs="Times New Roman"/>
        </w:rPr>
        <w:footnoteReference w:id="231"/>
      </w:r>
    </w:p>
    <w:p w14:paraId="3DF61C81" w14:textId="77777777" w:rsidR="00D218B6" w:rsidRDefault="00D218B6" w:rsidP="008F3A85">
      <w:pPr>
        <w:spacing w:after="0" w:line="240" w:lineRule="auto"/>
        <w:rPr>
          <w:rFonts w:ascii="Times New Roman" w:eastAsia="Times New Roman" w:hAnsi="Times New Roman" w:cs="Times New Roman"/>
        </w:rPr>
      </w:pPr>
    </w:p>
    <w:p w14:paraId="6FEE4C73" w14:textId="3C03C916" w:rsidR="00D218B6" w:rsidRPr="008F3A85" w:rsidRDefault="005B62D5" w:rsidP="008F3A85">
      <w:pPr>
        <w:spacing w:after="0" w:line="240" w:lineRule="auto"/>
        <w:rPr>
          <w:rFonts w:ascii="Times New Roman" w:eastAsia="Times New Roman" w:hAnsi="Times New Roman" w:cs="Times New Roman"/>
        </w:rPr>
      </w:pPr>
      <w:r>
        <w:rPr>
          <w:rFonts w:ascii="Times New Roman" w:eastAsia="Times New Roman" w:hAnsi="Times New Roman" w:cs="Times New Roman"/>
        </w:rPr>
        <w:t>The court also found factor four in favor of defendant because plaintiffs’</w:t>
      </w:r>
      <w:r w:rsidR="00D218B6">
        <w:rPr>
          <w:rFonts w:ascii="Times New Roman" w:eastAsia="Times New Roman" w:hAnsi="Times New Roman" w:cs="Times New Roman"/>
        </w:rPr>
        <w:t xml:space="preserve"> “primary theory of market harm is that Meta’s unauthorized use of their books for LLM training harms the market </w:t>
      </w:r>
      <w:r w:rsidR="00D218B6">
        <w:rPr>
          <w:rFonts w:ascii="Times New Roman" w:eastAsia="Times New Roman" w:hAnsi="Times New Roman" w:cs="Times New Roman"/>
        </w:rPr>
        <w:lastRenderedPageBreak/>
        <w:t>for licensing their book for that purpose.”</w:t>
      </w:r>
      <w:r w:rsidR="005F4C7A">
        <w:rPr>
          <w:rStyle w:val="FootnoteReference"/>
          <w:rFonts w:ascii="Times New Roman" w:eastAsia="Times New Roman" w:hAnsi="Times New Roman" w:cs="Times New Roman"/>
        </w:rPr>
        <w:footnoteReference w:id="232"/>
      </w:r>
      <w:r w:rsidR="00D218B6">
        <w:rPr>
          <w:rFonts w:ascii="Times New Roman" w:eastAsia="Times New Roman" w:hAnsi="Times New Roman" w:cs="Times New Roman"/>
        </w:rPr>
        <w:t xml:space="preserve"> The court stated that whether that market exists or develops is irrelevant and in order to prevent this type of circular argument from favoring the plaintiff in every case, it held that “harm from the loss of fees paid to license a work for a transformative purpose is not cognizable.”</w:t>
      </w:r>
      <w:r w:rsidR="005F4C7A">
        <w:rPr>
          <w:rStyle w:val="FootnoteReference"/>
          <w:rFonts w:ascii="Times New Roman" w:eastAsia="Times New Roman" w:hAnsi="Times New Roman" w:cs="Times New Roman"/>
        </w:rPr>
        <w:footnoteReference w:id="233"/>
      </w:r>
      <w:r w:rsidR="00D218B6">
        <w:rPr>
          <w:rFonts w:ascii="Times New Roman" w:eastAsia="Times New Roman" w:hAnsi="Times New Roman" w:cs="Times New Roman"/>
        </w:rPr>
        <w:t xml:space="preserve"> Because Meta’s use of these works is highly transformative, the plaintiff would have needed a strong showing on factor four to prevent a summary judgment for fair use. It failed to do </w:t>
      </w:r>
      <w:r w:rsidR="003350BF">
        <w:rPr>
          <w:rFonts w:ascii="Times New Roman" w:eastAsia="Times New Roman" w:hAnsi="Times New Roman" w:cs="Times New Roman"/>
        </w:rPr>
        <w:t>so,</w:t>
      </w:r>
      <w:r w:rsidR="00D218B6">
        <w:rPr>
          <w:rFonts w:ascii="Times New Roman" w:eastAsia="Times New Roman" w:hAnsi="Times New Roman" w:cs="Times New Roman"/>
        </w:rPr>
        <w:t xml:space="preserve"> and the court granted summary judgment on fair use to defendant.</w:t>
      </w:r>
      <w:r w:rsidR="005F4C7A">
        <w:rPr>
          <w:rStyle w:val="FootnoteReference"/>
          <w:rFonts w:ascii="Times New Roman" w:eastAsia="Times New Roman" w:hAnsi="Times New Roman" w:cs="Times New Roman"/>
        </w:rPr>
        <w:footnoteReference w:id="234"/>
      </w:r>
      <w:r w:rsidR="00D218B6">
        <w:rPr>
          <w:rFonts w:ascii="Times New Roman" w:eastAsia="Times New Roman" w:hAnsi="Times New Roman" w:cs="Times New Roman"/>
        </w:rPr>
        <w:t xml:space="preserve"> The court noted that it would also be granting a motion for summary judgment to </w:t>
      </w:r>
      <w:r w:rsidR="003350BF">
        <w:rPr>
          <w:rFonts w:ascii="Times New Roman" w:eastAsia="Times New Roman" w:hAnsi="Times New Roman" w:cs="Times New Roman"/>
        </w:rPr>
        <w:t>Meta</w:t>
      </w:r>
      <w:r w:rsidR="00D218B6">
        <w:rPr>
          <w:rFonts w:ascii="Times New Roman" w:eastAsia="Times New Roman" w:hAnsi="Times New Roman" w:cs="Times New Roman"/>
        </w:rPr>
        <w:t xml:space="preserve"> on plaintiffs’ </w:t>
      </w:r>
      <w:r w:rsidR="00FF748B">
        <w:rPr>
          <w:rFonts w:ascii="Times New Roman" w:eastAsia="Times New Roman" w:hAnsi="Times New Roman" w:cs="Times New Roman"/>
        </w:rPr>
        <w:t>DMCA</w:t>
      </w:r>
      <w:r w:rsidR="00D218B6">
        <w:rPr>
          <w:rFonts w:ascii="Times New Roman" w:eastAsia="Times New Roman" w:hAnsi="Times New Roman" w:cs="Times New Roman"/>
        </w:rPr>
        <w:t xml:space="preserve"> claims.</w:t>
      </w:r>
      <w:r w:rsidR="005F4C7A">
        <w:rPr>
          <w:rStyle w:val="FootnoteReference"/>
          <w:rFonts w:ascii="Times New Roman" w:eastAsia="Times New Roman" w:hAnsi="Times New Roman" w:cs="Times New Roman"/>
        </w:rPr>
        <w:footnoteReference w:id="235"/>
      </w:r>
    </w:p>
    <w:p w14:paraId="387CC490" w14:textId="596B47AE" w:rsidR="00A81706" w:rsidRPr="00A81706" w:rsidRDefault="00A81706" w:rsidP="00A81706"/>
    <w:p w14:paraId="6B8341DA" w14:textId="33C845BB" w:rsidR="00A81706" w:rsidRDefault="00A81706" w:rsidP="00A81706">
      <w:pPr>
        <w:pStyle w:val="Heading4"/>
      </w:pPr>
      <w:bookmarkStart w:id="58" w:name="_Toc220693080"/>
      <w:r>
        <w:t>5</w:t>
      </w:r>
      <w:r w:rsidRPr="00794BB3">
        <w:t xml:space="preserve">. </w:t>
      </w:r>
      <w:r>
        <w:t>Concord Music v. Anthropic</w:t>
      </w:r>
      <w:bookmarkEnd w:id="58"/>
    </w:p>
    <w:p w14:paraId="45D1C0FF" w14:textId="1AE5C218" w:rsidR="00A81706" w:rsidRPr="009E5941" w:rsidRDefault="00A81706" w:rsidP="00A81706">
      <w:pPr>
        <w:rPr>
          <w:rFonts w:ascii="Times New Roman" w:hAnsi="Times New Roman" w:cs="Times New Roman"/>
        </w:rPr>
      </w:pPr>
    </w:p>
    <w:p w14:paraId="356A50AD" w14:textId="49D2F4E5" w:rsidR="007721F1" w:rsidRDefault="009E5941" w:rsidP="00A81706">
      <w:pPr>
        <w:rPr>
          <w:rFonts w:ascii="Times New Roman" w:hAnsi="Times New Roman" w:cs="Times New Roman"/>
        </w:rPr>
      </w:pPr>
      <w:r w:rsidRPr="009E5941">
        <w:rPr>
          <w:rFonts w:ascii="Times New Roman" w:hAnsi="Times New Roman" w:cs="Times New Roman"/>
        </w:rPr>
        <w:t>Eight music publishers</w:t>
      </w:r>
      <w:r>
        <w:rPr>
          <w:rFonts w:ascii="Times New Roman" w:hAnsi="Times New Roman" w:cs="Times New Roman"/>
        </w:rPr>
        <w:t>, owning exclusive rights to millions of musical compositions, sued Anthropic for a variety of claims related to the training of Anthropic’s general purpose AI tool, Claude.</w:t>
      </w:r>
      <w:r w:rsidR="00BC0244">
        <w:rPr>
          <w:rStyle w:val="FootnoteReference"/>
          <w:rFonts w:ascii="Times New Roman" w:hAnsi="Times New Roman" w:cs="Times New Roman"/>
        </w:rPr>
        <w:footnoteReference w:id="236"/>
      </w:r>
      <w:r>
        <w:rPr>
          <w:rFonts w:ascii="Times New Roman" w:hAnsi="Times New Roman" w:cs="Times New Roman"/>
        </w:rPr>
        <w:t xml:space="preserve"> Plaintiffs identified 500 songs that were used to train Claude</w:t>
      </w:r>
      <w:r w:rsidR="00F728ED">
        <w:rPr>
          <w:rFonts w:ascii="Times New Roman" w:hAnsi="Times New Roman" w:cs="Times New Roman"/>
        </w:rPr>
        <w:t xml:space="preserve"> without their permission</w:t>
      </w:r>
      <w:r>
        <w:rPr>
          <w:rFonts w:ascii="Times New Roman" w:hAnsi="Times New Roman" w:cs="Times New Roman"/>
        </w:rPr>
        <w:t xml:space="preserve">. They allege copyright infringement based on both the use of the works as training input for Claude and on the output generated by Claude. </w:t>
      </w:r>
      <w:r w:rsidR="00B0432F">
        <w:rPr>
          <w:rFonts w:ascii="Times New Roman" w:hAnsi="Times New Roman" w:cs="Times New Roman"/>
        </w:rPr>
        <w:t xml:space="preserve">The case also contains claims under the DMCA. </w:t>
      </w:r>
      <w:r>
        <w:rPr>
          <w:rFonts w:ascii="Times New Roman" w:hAnsi="Times New Roman" w:cs="Times New Roman"/>
        </w:rPr>
        <w:t>Anthropic does not deny that the 500 songs were part of the training material</w:t>
      </w:r>
      <w:r w:rsidR="00B0432F">
        <w:rPr>
          <w:rFonts w:ascii="Times New Roman" w:hAnsi="Times New Roman" w:cs="Times New Roman"/>
        </w:rPr>
        <w:t>, as “they are commonly found all across the Internet.”</w:t>
      </w:r>
      <w:r w:rsidR="00BC0244">
        <w:rPr>
          <w:rStyle w:val="FootnoteReference"/>
          <w:rFonts w:ascii="Times New Roman" w:hAnsi="Times New Roman" w:cs="Times New Roman"/>
        </w:rPr>
        <w:footnoteReference w:id="237"/>
      </w:r>
      <w:r w:rsidR="00B0432F">
        <w:rPr>
          <w:rFonts w:ascii="Times New Roman" w:hAnsi="Times New Roman" w:cs="Times New Roman"/>
        </w:rPr>
        <w:t xml:space="preserve"> Obviously, this case comes close to the scenario outlined in my “Band Hero on Steroids” hypothetical.</w:t>
      </w:r>
      <w:r w:rsidR="00216088">
        <w:rPr>
          <w:rStyle w:val="FootnoteReference"/>
          <w:rFonts w:ascii="Times New Roman" w:hAnsi="Times New Roman" w:cs="Times New Roman"/>
        </w:rPr>
        <w:footnoteReference w:id="238"/>
      </w:r>
    </w:p>
    <w:p w14:paraId="62CBF5BD" w14:textId="7FEE58E7" w:rsidR="00B0432F" w:rsidRDefault="00B0432F" w:rsidP="00A81706">
      <w:pPr>
        <w:rPr>
          <w:rFonts w:ascii="Times New Roman" w:hAnsi="Times New Roman" w:cs="Times New Roman"/>
        </w:rPr>
      </w:pPr>
      <w:r>
        <w:rPr>
          <w:rFonts w:ascii="Times New Roman" w:hAnsi="Times New Roman" w:cs="Times New Roman"/>
        </w:rPr>
        <w:t>This decision, however, deals only with plaintiffs’ request for a preliminary injunction.</w:t>
      </w:r>
      <w:r w:rsidR="00E2501A">
        <w:rPr>
          <w:rStyle w:val="FootnoteReference"/>
          <w:rFonts w:ascii="Times New Roman" w:hAnsi="Times New Roman" w:cs="Times New Roman"/>
        </w:rPr>
        <w:footnoteReference w:id="239"/>
      </w:r>
      <w:r>
        <w:rPr>
          <w:rFonts w:ascii="Times New Roman" w:hAnsi="Times New Roman" w:cs="Times New Roman"/>
        </w:rPr>
        <w:t xml:space="preserve"> </w:t>
      </w:r>
      <w:r w:rsidR="00E2501A">
        <w:rPr>
          <w:rFonts w:ascii="Times New Roman" w:hAnsi="Times New Roman" w:cs="Times New Roman"/>
        </w:rPr>
        <w:t>The court focused primarily on market-related harm in deciding that there was no showing of irreparable harm, as required for injunctive relief.</w:t>
      </w:r>
      <w:r w:rsidR="00BC0244">
        <w:rPr>
          <w:rStyle w:val="FootnoteReference"/>
          <w:rFonts w:ascii="Times New Roman" w:hAnsi="Times New Roman" w:cs="Times New Roman"/>
        </w:rPr>
        <w:footnoteReference w:id="240"/>
      </w:r>
      <w:r w:rsidR="00E2501A">
        <w:rPr>
          <w:rFonts w:ascii="Times New Roman" w:hAnsi="Times New Roman" w:cs="Times New Roman"/>
        </w:rPr>
        <w:t xml:space="preserve"> The court stated that the plaintiffs’ biggest argument centered upon potential loss of value of the songs in future negotiations</w:t>
      </w:r>
      <w:r w:rsidR="008B72BC">
        <w:rPr>
          <w:rFonts w:ascii="Times New Roman" w:hAnsi="Times New Roman" w:cs="Times New Roman"/>
        </w:rPr>
        <w:t xml:space="preserve"> for licensing deals.</w:t>
      </w:r>
      <w:r w:rsidR="00BC0244">
        <w:rPr>
          <w:rStyle w:val="FootnoteReference"/>
          <w:rFonts w:ascii="Times New Roman" w:hAnsi="Times New Roman" w:cs="Times New Roman"/>
        </w:rPr>
        <w:footnoteReference w:id="241"/>
      </w:r>
      <w:r w:rsidR="008B72BC">
        <w:rPr>
          <w:rFonts w:ascii="Times New Roman" w:hAnsi="Times New Roman" w:cs="Times New Roman"/>
        </w:rPr>
        <w:t xml:space="preserve"> The court held that plaintiffs had not identified any lost licensing deals or any loss of value in the songs, and that even if they had, there was nothing to indicate that those loss could not be compensated through money damages.</w:t>
      </w:r>
      <w:r w:rsidR="00BC0244">
        <w:rPr>
          <w:rStyle w:val="FootnoteReference"/>
          <w:rFonts w:ascii="Times New Roman" w:hAnsi="Times New Roman" w:cs="Times New Roman"/>
        </w:rPr>
        <w:footnoteReference w:id="242"/>
      </w:r>
    </w:p>
    <w:p w14:paraId="661B3669" w14:textId="4D55E216" w:rsidR="008B72BC" w:rsidRPr="009E5941" w:rsidRDefault="008B72BC" w:rsidP="00A81706">
      <w:pPr>
        <w:rPr>
          <w:rFonts w:ascii="Times New Roman" w:hAnsi="Times New Roman" w:cs="Times New Roman"/>
        </w:rPr>
      </w:pPr>
      <w:r>
        <w:rPr>
          <w:rFonts w:ascii="Times New Roman" w:hAnsi="Times New Roman" w:cs="Times New Roman"/>
        </w:rPr>
        <w:t xml:space="preserve">Significantly, the court noted that “it is an open question whether training generative AI models with copyrighted material is a fair use. By seeking a preliminary injunction, [Plaintiffs] are essentially asking the court to define the contours of a licensing market for AI training where the </w:t>
      </w:r>
      <w:r>
        <w:rPr>
          <w:rFonts w:ascii="Times New Roman" w:hAnsi="Times New Roman" w:cs="Times New Roman"/>
        </w:rPr>
        <w:lastRenderedPageBreak/>
        <w:t>threshold question of fair use remains unsettled.”</w:t>
      </w:r>
      <w:r>
        <w:rPr>
          <w:rStyle w:val="FootnoteReference"/>
          <w:rFonts w:ascii="Times New Roman" w:hAnsi="Times New Roman" w:cs="Times New Roman"/>
        </w:rPr>
        <w:footnoteReference w:id="243"/>
      </w:r>
      <w:r>
        <w:rPr>
          <w:rFonts w:ascii="Times New Roman" w:hAnsi="Times New Roman" w:cs="Times New Roman"/>
        </w:rPr>
        <w:t xml:space="preserve"> Furthermore, the court stated that it would not grant injunctive relief </w:t>
      </w:r>
      <w:r w:rsidR="001E09D8">
        <w:rPr>
          <w:rFonts w:ascii="Times New Roman" w:hAnsi="Times New Roman" w:cs="Times New Roman"/>
        </w:rPr>
        <w:t>“</w:t>
      </w:r>
      <w:r>
        <w:rPr>
          <w:rFonts w:ascii="Times New Roman" w:hAnsi="Times New Roman" w:cs="Times New Roman"/>
        </w:rPr>
        <w:t>based on legal rights (here, licensing rights) that have not yet been established,”</w:t>
      </w:r>
      <w:r>
        <w:rPr>
          <w:rStyle w:val="FootnoteReference"/>
          <w:rFonts w:ascii="Times New Roman" w:hAnsi="Times New Roman" w:cs="Times New Roman"/>
        </w:rPr>
        <w:footnoteReference w:id="244"/>
      </w:r>
      <w:r>
        <w:rPr>
          <w:rFonts w:ascii="Times New Roman" w:hAnsi="Times New Roman" w:cs="Times New Roman"/>
        </w:rPr>
        <w:t xml:space="preserve"> and </w:t>
      </w:r>
      <w:r w:rsidR="001E09D8">
        <w:rPr>
          <w:rFonts w:ascii="Times New Roman" w:hAnsi="Times New Roman" w:cs="Times New Roman"/>
        </w:rPr>
        <w:t xml:space="preserve">because </w:t>
      </w:r>
      <w:r>
        <w:rPr>
          <w:rFonts w:ascii="Times New Roman" w:hAnsi="Times New Roman" w:cs="Times New Roman"/>
        </w:rPr>
        <w:t xml:space="preserve">to do so would </w:t>
      </w:r>
      <w:r w:rsidR="00BC0244">
        <w:rPr>
          <w:rFonts w:ascii="Times New Roman" w:hAnsi="Times New Roman" w:cs="Times New Roman"/>
        </w:rPr>
        <w:t>“</w:t>
      </w:r>
      <w:r>
        <w:rPr>
          <w:rFonts w:ascii="Times New Roman" w:hAnsi="Times New Roman" w:cs="Times New Roman"/>
        </w:rPr>
        <w:t>imply automatic entitlement to injunctive relief in all copyright cases, a premise that the Ninth Circuit has rejected.”</w:t>
      </w:r>
      <w:r w:rsidR="00BC0244">
        <w:rPr>
          <w:rStyle w:val="FootnoteReference"/>
          <w:rFonts w:ascii="Times New Roman" w:hAnsi="Times New Roman" w:cs="Times New Roman"/>
        </w:rPr>
        <w:footnoteReference w:id="245"/>
      </w:r>
    </w:p>
    <w:p w14:paraId="66D91901" w14:textId="731E977E" w:rsidR="00A81706" w:rsidRPr="00794BB3" w:rsidRDefault="00A81706" w:rsidP="00A81706">
      <w:pPr>
        <w:pStyle w:val="Heading4"/>
      </w:pPr>
      <w:bookmarkStart w:id="59" w:name="_Toc220693081"/>
      <w:r>
        <w:t>6</w:t>
      </w:r>
      <w:r w:rsidRPr="00794BB3">
        <w:t xml:space="preserve">. New York Times Co. v. </w:t>
      </w:r>
      <w:r>
        <w:t>Microsoft</w:t>
      </w:r>
      <w:r w:rsidR="00127AA2">
        <w:t>;</w:t>
      </w:r>
      <w:r>
        <w:t xml:space="preserve"> </w:t>
      </w:r>
      <w:r w:rsidRPr="00794BB3">
        <w:t>OpenAI</w:t>
      </w:r>
      <w:r>
        <w:t xml:space="preserve"> and the Consolidated Cases</w:t>
      </w:r>
      <w:bookmarkEnd w:id="59"/>
    </w:p>
    <w:p w14:paraId="488F44AD" w14:textId="4B7406F9" w:rsidR="00A81706" w:rsidRDefault="00A81706"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most important </w:t>
      </w:r>
      <w:r w:rsidR="00127AA2">
        <w:rPr>
          <w:rFonts w:ascii="Times New Roman" w:eastAsia="Times New Roman" w:hAnsi="Times New Roman" w:cs="Times New Roman"/>
        </w:rPr>
        <w:t xml:space="preserve">ongoing </w:t>
      </w:r>
      <w:r>
        <w:rPr>
          <w:rFonts w:ascii="Times New Roman" w:eastAsia="Times New Roman" w:hAnsi="Times New Roman" w:cs="Times New Roman"/>
        </w:rPr>
        <w:t>generative AI litigation is the t</w:t>
      </w:r>
      <w:r w:rsidR="00A21396">
        <w:rPr>
          <w:rFonts w:ascii="Times New Roman" w:eastAsia="Times New Roman" w:hAnsi="Times New Roman" w:cs="Times New Roman"/>
        </w:rPr>
        <w:t>hr</w:t>
      </w:r>
      <w:r>
        <w:rPr>
          <w:rFonts w:ascii="Times New Roman" w:eastAsia="Times New Roman" w:hAnsi="Times New Roman" w:cs="Times New Roman"/>
        </w:rPr>
        <w:t xml:space="preserve">ice-consolidated cases involving OpenAI and </w:t>
      </w:r>
      <w:r w:rsidR="00A21396">
        <w:rPr>
          <w:rFonts w:ascii="Times New Roman" w:eastAsia="Times New Roman" w:hAnsi="Times New Roman" w:cs="Times New Roman"/>
        </w:rPr>
        <w:t xml:space="preserve">other defendants. In November 2023, the Northern District of California, consolidated two cases, </w:t>
      </w:r>
      <w:r w:rsidR="00A21396" w:rsidRPr="00A21396">
        <w:rPr>
          <w:rFonts w:ascii="Times New Roman" w:eastAsia="Times New Roman" w:hAnsi="Times New Roman" w:cs="Times New Roman"/>
          <w:i/>
        </w:rPr>
        <w:t>Tremblay v. OpenAI, Inc</w:t>
      </w:r>
      <w:r w:rsidR="00A21396">
        <w:rPr>
          <w:rFonts w:ascii="Times New Roman" w:eastAsia="Times New Roman" w:hAnsi="Times New Roman" w:cs="Times New Roman"/>
        </w:rPr>
        <w:t>.</w:t>
      </w:r>
      <w:r w:rsidR="00127AA2">
        <w:rPr>
          <w:rStyle w:val="FootnoteReference"/>
          <w:rFonts w:ascii="Times New Roman" w:eastAsia="Times New Roman" w:hAnsi="Times New Roman" w:cs="Times New Roman"/>
        </w:rPr>
        <w:footnoteReference w:id="246"/>
      </w:r>
      <w:r w:rsidR="00A21396">
        <w:rPr>
          <w:rFonts w:ascii="Times New Roman" w:eastAsia="Times New Roman" w:hAnsi="Times New Roman" w:cs="Times New Roman"/>
        </w:rPr>
        <w:t xml:space="preserve"> and </w:t>
      </w:r>
      <w:r w:rsidR="00A21396" w:rsidRPr="00A21396">
        <w:rPr>
          <w:rFonts w:ascii="Times New Roman" w:eastAsia="Times New Roman" w:hAnsi="Times New Roman" w:cs="Times New Roman"/>
          <w:i/>
        </w:rPr>
        <w:t>Chabon v. OpenAI, Inc</w:t>
      </w:r>
      <w:r w:rsidR="00A21396">
        <w:rPr>
          <w:rFonts w:ascii="Times New Roman" w:eastAsia="Times New Roman" w:hAnsi="Times New Roman" w:cs="Times New Roman"/>
        </w:rPr>
        <w:t>.,</w:t>
      </w:r>
      <w:r w:rsidR="00127AA2">
        <w:rPr>
          <w:rStyle w:val="FootnoteReference"/>
          <w:rFonts w:ascii="Times New Roman" w:eastAsia="Times New Roman" w:hAnsi="Times New Roman" w:cs="Times New Roman"/>
        </w:rPr>
        <w:footnoteReference w:id="247"/>
      </w:r>
      <w:r w:rsidR="00A21396">
        <w:rPr>
          <w:rFonts w:ascii="Times New Roman" w:eastAsia="Times New Roman" w:hAnsi="Times New Roman" w:cs="Times New Roman"/>
        </w:rPr>
        <w:t xml:space="preserve"> because of the similarity of the issues involved. In February 2024, the court added another case, </w:t>
      </w:r>
      <w:r w:rsidR="00A21396" w:rsidRPr="00127AA2">
        <w:rPr>
          <w:rFonts w:ascii="Times New Roman" w:eastAsia="Times New Roman" w:hAnsi="Times New Roman" w:cs="Times New Roman"/>
          <w:i/>
        </w:rPr>
        <w:t>Silverman v. OpenAI, Inc</w:t>
      </w:r>
      <w:r w:rsidR="00A21396">
        <w:rPr>
          <w:rFonts w:ascii="Times New Roman" w:eastAsia="Times New Roman" w:hAnsi="Times New Roman" w:cs="Times New Roman"/>
        </w:rPr>
        <w:t>.</w:t>
      </w:r>
      <w:r w:rsidR="00127AA2">
        <w:rPr>
          <w:rStyle w:val="FootnoteReference"/>
          <w:rFonts w:ascii="Times New Roman" w:eastAsia="Times New Roman" w:hAnsi="Times New Roman" w:cs="Times New Roman"/>
        </w:rPr>
        <w:footnoteReference w:id="248"/>
      </w:r>
      <w:r w:rsidR="00A21396">
        <w:rPr>
          <w:rFonts w:ascii="Times New Roman" w:eastAsia="Times New Roman" w:hAnsi="Times New Roman" w:cs="Times New Roman"/>
        </w:rPr>
        <w:t xml:space="preserve"> to this group.</w:t>
      </w:r>
    </w:p>
    <w:p w14:paraId="5AEFF731" w14:textId="3BA4CB05" w:rsidR="00A21396" w:rsidRDefault="00A21396"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In April </w:t>
      </w:r>
      <w:r w:rsidRPr="00760E68">
        <w:rPr>
          <w:rFonts w:ascii="Times New Roman" w:eastAsia="Times New Roman" w:hAnsi="Times New Roman" w:cs="Times New Roman"/>
          <w:i/>
          <w:iCs/>
        </w:rPr>
        <w:t>2025</w:t>
      </w:r>
      <w:r>
        <w:rPr>
          <w:rFonts w:ascii="Times New Roman" w:eastAsia="Times New Roman" w:hAnsi="Times New Roman" w:cs="Times New Roman"/>
        </w:rPr>
        <w:t xml:space="preserve"> these three cases were consolidated with nine other cases in multidistrict litigation </w:t>
      </w:r>
      <w:r w:rsidR="00EE24A8">
        <w:rPr>
          <w:rFonts w:ascii="Times New Roman" w:eastAsia="Times New Roman" w:hAnsi="Times New Roman" w:cs="Times New Roman"/>
        </w:rPr>
        <w:t xml:space="preserve">to proceed </w:t>
      </w:r>
      <w:r>
        <w:rPr>
          <w:rFonts w:ascii="Times New Roman" w:eastAsia="Times New Roman" w:hAnsi="Times New Roman" w:cs="Times New Roman"/>
        </w:rPr>
        <w:t>in the Southern District of New York.</w:t>
      </w:r>
      <w:r w:rsidR="00A8422E">
        <w:rPr>
          <w:rStyle w:val="FootnoteReference"/>
          <w:rFonts w:ascii="Times New Roman" w:eastAsia="Times New Roman" w:hAnsi="Times New Roman" w:cs="Times New Roman"/>
        </w:rPr>
        <w:footnoteReference w:id="249"/>
      </w:r>
      <w:r>
        <w:rPr>
          <w:rFonts w:ascii="Times New Roman" w:eastAsia="Times New Roman" w:hAnsi="Times New Roman" w:cs="Times New Roman"/>
        </w:rPr>
        <w:t xml:space="preserve"> I will be discussing several of these cases</w:t>
      </w:r>
      <w:r w:rsidR="00EE24A8">
        <w:rPr>
          <w:rFonts w:ascii="Times New Roman" w:eastAsia="Times New Roman" w:hAnsi="Times New Roman" w:cs="Times New Roman"/>
        </w:rPr>
        <w:t xml:space="preserve"> in greater detail: </w:t>
      </w:r>
      <w:r w:rsidR="00EE24A8" w:rsidRPr="00127AA2">
        <w:rPr>
          <w:rFonts w:ascii="Times New Roman" w:eastAsia="Times New Roman" w:hAnsi="Times New Roman" w:cs="Times New Roman"/>
          <w:i/>
        </w:rPr>
        <w:t>Tremblay</w:t>
      </w:r>
      <w:r w:rsidR="00EE24A8">
        <w:rPr>
          <w:rFonts w:ascii="Times New Roman" w:eastAsia="Times New Roman" w:hAnsi="Times New Roman" w:cs="Times New Roman"/>
        </w:rPr>
        <w:t xml:space="preserve">, </w:t>
      </w:r>
      <w:r w:rsidR="00EE24A8" w:rsidRPr="00127AA2">
        <w:rPr>
          <w:rFonts w:ascii="Times New Roman" w:eastAsia="Times New Roman" w:hAnsi="Times New Roman" w:cs="Times New Roman"/>
          <w:i/>
        </w:rPr>
        <w:t>Intercept Media, Inc.</w:t>
      </w:r>
      <w:r w:rsidRPr="00127AA2">
        <w:rPr>
          <w:rFonts w:ascii="Times New Roman" w:eastAsia="Times New Roman" w:hAnsi="Times New Roman" w:cs="Times New Roman"/>
          <w:i/>
        </w:rPr>
        <w:t xml:space="preserve"> </w:t>
      </w:r>
      <w:r w:rsidR="00EE24A8" w:rsidRPr="00127AA2">
        <w:rPr>
          <w:rFonts w:ascii="Times New Roman" w:eastAsia="Times New Roman" w:hAnsi="Times New Roman" w:cs="Times New Roman"/>
          <w:i/>
        </w:rPr>
        <w:t>v. OpenAI, Inc.</w:t>
      </w:r>
      <w:r w:rsidR="00EE24A8">
        <w:rPr>
          <w:rFonts w:ascii="Times New Roman" w:eastAsia="Times New Roman" w:hAnsi="Times New Roman" w:cs="Times New Roman"/>
        </w:rPr>
        <w:t>,</w:t>
      </w:r>
      <w:r w:rsidR="00127AA2">
        <w:rPr>
          <w:rStyle w:val="FootnoteReference"/>
          <w:rFonts w:ascii="Times New Roman" w:eastAsia="Times New Roman" w:hAnsi="Times New Roman" w:cs="Times New Roman"/>
        </w:rPr>
        <w:footnoteReference w:id="250"/>
      </w:r>
      <w:r w:rsidR="00EE24A8">
        <w:rPr>
          <w:rFonts w:ascii="Times New Roman" w:eastAsia="Times New Roman" w:hAnsi="Times New Roman" w:cs="Times New Roman"/>
        </w:rPr>
        <w:t xml:space="preserve"> and </w:t>
      </w:r>
      <w:r w:rsidR="00EE24A8" w:rsidRPr="00127AA2">
        <w:rPr>
          <w:rFonts w:ascii="Times New Roman" w:eastAsia="Times New Roman" w:hAnsi="Times New Roman" w:cs="Times New Roman"/>
          <w:i/>
        </w:rPr>
        <w:t>New York Times v. Microsoft</w:t>
      </w:r>
      <w:r w:rsidR="00EE24A8">
        <w:rPr>
          <w:rFonts w:ascii="Times New Roman" w:eastAsia="Times New Roman" w:hAnsi="Times New Roman" w:cs="Times New Roman"/>
        </w:rPr>
        <w:t>.</w:t>
      </w:r>
      <w:r w:rsidR="00127AA2">
        <w:rPr>
          <w:rStyle w:val="FootnoteReference"/>
          <w:rFonts w:ascii="Times New Roman" w:eastAsia="Times New Roman" w:hAnsi="Times New Roman" w:cs="Times New Roman"/>
        </w:rPr>
        <w:footnoteReference w:id="251"/>
      </w:r>
      <w:r w:rsidR="00EE24A8">
        <w:rPr>
          <w:rFonts w:ascii="Times New Roman" w:eastAsia="Times New Roman" w:hAnsi="Times New Roman" w:cs="Times New Roman"/>
        </w:rPr>
        <w:t xml:space="preserve"> These cases</w:t>
      </w:r>
      <w:r w:rsidR="00443DB7">
        <w:rPr>
          <w:rFonts w:ascii="Times New Roman" w:eastAsia="Times New Roman" w:hAnsi="Times New Roman" w:cs="Times New Roman"/>
        </w:rPr>
        <w:t>, mostly involving OpenAI and its revolutionary AI tool ChatGPT,</w:t>
      </w:r>
      <w:r w:rsidR="00EE24A8">
        <w:rPr>
          <w:rFonts w:ascii="Times New Roman" w:eastAsia="Times New Roman" w:hAnsi="Times New Roman" w:cs="Times New Roman"/>
        </w:rPr>
        <w:t xml:space="preserve"> will likely </w:t>
      </w:r>
      <w:r w:rsidR="00BC0244">
        <w:rPr>
          <w:rFonts w:ascii="Times New Roman" w:eastAsia="Times New Roman" w:hAnsi="Times New Roman" w:cs="Times New Roman"/>
        </w:rPr>
        <w:t xml:space="preserve">play a </w:t>
      </w:r>
      <w:r w:rsidR="00D41533">
        <w:rPr>
          <w:rFonts w:ascii="Times New Roman" w:eastAsia="Times New Roman" w:hAnsi="Times New Roman" w:cs="Times New Roman"/>
        </w:rPr>
        <w:t>definitive</w:t>
      </w:r>
      <w:r w:rsidR="00BC0244">
        <w:rPr>
          <w:rFonts w:ascii="Times New Roman" w:eastAsia="Times New Roman" w:hAnsi="Times New Roman" w:cs="Times New Roman"/>
        </w:rPr>
        <w:t xml:space="preserve"> role in </w:t>
      </w:r>
      <w:r w:rsidR="00EE24A8">
        <w:rPr>
          <w:rFonts w:ascii="Times New Roman" w:eastAsia="Times New Roman" w:hAnsi="Times New Roman" w:cs="Times New Roman"/>
        </w:rPr>
        <w:t>shap</w:t>
      </w:r>
      <w:r w:rsidR="00BC0244">
        <w:rPr>
          <w:rFonts w:ascii="Times New Roman" w:eastAsia="Times New Roman" w:hAnsi="Times New Roman" w:cs="Times New Roman"/>
        </w:rPr>
        <w:t>ing</w:t>
      </w:r>
      <w:r w:rsidR="00EE24A8">
        <w:rPr>
          <w:rFonts w:ascii="Times New Roman" w:eastAsia="Times New Roman" w:hAnsi="Times New Roman" w:cs="Times New Roman"/>
        </w:rPr>
        <w:t xml:space="preserve"> the next copyright building block.</w:t>
      </w:r>
    </w:p>
    <w:p w14:paraId="1EE4E9A2" w14:textId="2B3499FF" w:rsidR="00BC0244" w:rsidRDefault="00BC0244" w:rsidP="00A81706">
      <w:pPr>
        <w:spacing w:before="100" w:beforeAutospacing="1" w:after="100" w:afterAutospacing="1" w:line="240" w:lineRule="auto"/>
        <w:rPr>
          <w:rFonts w:ascii="Times New Roman" w:eastAsia="Times New Roman" w:hAnsi="Times New Roman" w:cs="Times New Roman"/>
        </w:rPr>
      </w:pPr>
      <w:r w:rsidRPr="00760E68">
        <w:rPr>
          <w:rFonts w:ascii="Times New Roman" w:eastAsia="Times New Roman" w:hAnsi="Times New Roman" w:cs="Times New Roman"/>
          <w:i/>
          <w:iCs/>
        </w:rPr>
        <w:t>Tremblay</w:t>
      </w:r>
      <w:r w:rsidR="00760E68">
        <w:rPr>
          <w:rFonts w:ascii="Times New Roman" w:eastAsia="Times New Roman" w:hAnsi="Times New Roman" w:cs="Times New Roman"/>
        </w:rPr>
        <w:t xml:space="preserve"> is one of the first cases that set a pattern in which courts </w:t>
      </w:r>
      <w:r w:rsidR="00443DB7">
        <w:rPr>
          <w:rFonts w:ascii="Times New Roman" w:eastAsia="Times New Roman" w:hAnsi="Times New Roman" w:cs="Times New Roman"/>
        </w:rPr>
        <w:t xml:space="preserve">typically </w:t>
      </w:r>
      <w:r w:rsidR="00760E68">
        <w:rPr>
          <w:rFonts w:ascii="Times New Roman" w:eastAsia="Times New Roman" w:hAnsi="Times New Roman" w:cs="Times New Roman"/>
        </w:rPr>
        <w:t>require very strict pleading</w:t>
      </w:r>
      <w:r w:rsidR="00443DB7">
        <w:rPr>
          <w:rFonts w:ascii="Times New Roman" w:eastAsia="Times New Roman" w:hAnsi="Times New Roman" w:cs="Times New Roman"/>
        </w:rPr>
        <w:t>s</w:t>
      </w:r>
      <w:r w:rsidR="00760E68">
        <w:rPr>
          <w:rFonts w:ascii="Times New Roman" w:eastAsia="Times New Roman" w:hAnsi="Times New Roman" w:cs="Times New Roman"/>
        </w:rPr>
        <w:t xml:space="preserve"> in DMCA claims, while permitting direct copyright infringement claims to proceed.</w:t>
      </w:r>
      <w:r w:rsidR="00760E68">
        <w:rPr>
          <w:rStyle w:val="FootnoteReference"/>
          <w:rFonts w:ascii="Times New Roman" w:eastAsia="Times New Roman" w:hAnsi="Times New Roman" w:cs="Times New Roman"/>
        </w:rPr>
        <w:footnoteReference w:id="252"/>
      </w:r>
      <w:r w:rsidR="006932F7">
        <w:rPr>
          <w:rFonts w:ascii="Times New Roman" w:eastAsia="Times New Roman" w:hAnsi="Times New Roman" w:cs="Times New Roman"/>
        </w:rPr>
        <w:t xml:space="preserve"> </w:t>
      </w:r>
      <w:r w:rsidR="008F337C">
        <w:rPr>
          <w:rFonts w:ascii="Times New Roman" w:eastAsia="Times New Roman" w:hAnsi="Times New Roman" w:cs="Times New Roman"/>
        </w:rPr>
        <w:t>The court dismissed a claim under Section 1202(b)(1) for failing to allege any facts to support plaintiffs’ allegation that defendants removed CMI from copyrighted works during training</w:t>
      </w:r>
      <w:r w:rsidR="008F337C">
        <w:rPr>
          <w:rStyle w:val="FootnoteReference"/>
          <w:rFonts w:ascii="Times New Roman" w:eastAsia="Times New Roman" w:hAnsi="Times New Roman" w:cs="Times New Roman"/>
        </w:rPr>
        <w:footnoteReference w:id="253"/>
      </w:r>
      <w:r w:rsidR="008F337C">
        <w:rPr>
          <w:rFonts w:ascii="Times New Roman" w:eastAsia="Times New Roman" w:hAnsi="Times New Roman" w:cs="Times New Roman"/>
        </w:rPr>
        <w:t xml:space="preserve"> nor to support plaintiffs’ allegation that by removing or omitting CMI during training would give defendant reasonable grounds to know that ChatGPT’s output would “induce, enable, facilitate, </w:t>
      </w:r>
      <w:r w:rsidR="008F337C">
        <w:rPr>
          <w:rFonts w:ascii="Times New Roman" w:eastAsia="Times New Roman" w:hAnsi="Times New Roman" w:cs="Times New Roman"/>
        </w:rPr>
        <w:lastRenderedPageBreak/>
        <w:t>or conceal infringement.”</w:t>
      </w:r>
      <w:r w:rsidR="008F337C">
        <w:rPr>
          <w:rStyle w:val="FootnoteReference"/>
          <w:rFonts w:ascii="Times New Roman" w:eastAsia="Times New Roman" w:hAnsi="Times New Roman" w:cs="Times New Roman"/>
        </w:rPr>
        <w:footnoteReference w:id="254"/>
      </w:r>
      <w:r w:rsidR="00443DB7">
        <w:rPr>
          <w:rFonts w:ascii="Times New Roman" w:eastAsia="Times New Roman" w:hAnsi="Times New Roman" w:cs="Times New Roman"/>
        </w:rPr>
        <w:t xml:space="preserve"> It also dismissed a claim under Section 1202(b)(3) for fai</w:t>
      </w:r>
      <w:r w:rsidR="00A45798">
        <w:rPr>
          <w:rFonts w:ascii="Times New Roman" w:eastAsia="Times New Roman" w:hAnsi="Times New Roman" w:cs="Times New Roman"/>
        </w:rPr>
        <w:t>l</w:t>
      </w:r>
      <w:r w:rsidR="00443DB7">
        <w:rPr>
          <w:rFonts w:ascii="Times New Roman" w:eastAsia="Times New Roman" w:hAnsi="Times New Roman" w:cs="Times New Roman"/>
        </w:rPr>
        <w:t>ing to allege any facts showing that defendants distributed any works after removing or omitting CMI, as required by the statute.</w:t>
      </w:r>
      <w:r w:rsidR="00443DB7">
        <w:rPr>
          <w:rStyle w:val="FootnoteReference"/>
          <w:rFonts w:ascii="Times New Roman" w:eastAsia="Times New Roman" w:hAnsi="Times New Roman" w:cs="Times New Roman"/>
        </w:rPr>
        <w:footnoteReference w:id="255"/>
      </w:r>
    </w:p>
    <w:p w14:paraId="0E4740F9" w14:textId="17D719AF" w:rsidR="00BC0244" w:rsidRDefault="007B0806" w:rsidP="00A8170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decision in </w:t>
      </w:r>
      <w:r w:rsidRPr="007B0806">
        <w:rPr>
          <w:rFonts w:ascii="Times New Roman" w:eastAsia="Times New Roman" w:hAnsi="Times New Roman" w:cs="Times New Roman"/>
          <w:i/>
          <w:iCs/>
        </w:rPr>
        <w:t>Intercept Media</w:t>
      </w:r>
      <w:r>
        <w:rPr>
          <w:rFonts w:ascii="Times New Roman" w:eastAsia="Times New Roman" w:hAnsi="Times New Roman" w:cs="Times New Roman"/>
        </w:rPr>
        <w:t xml:space="preserve"> also focused on DMCA claims, where the court granted defendant Microsoft’s motion to dismiss, with prejudice, plaintiffs’ claims under both Sections 1202 (b)(1) and 1202 (b)(3), and defendant OpenAI’s motion to dismiss, with prejudice, plaintiffs’ claim under Section 1202 (b)(3), but denied OpenAI’s motion to dismiss plaintiffs’ claim under Section 1202 (b)(1), thereby letting that claim proceed.</w:t>
      </w:r>
      <w:r>
        <w:rPr>
          <w:rStyle w:val="FootnoteReference"/>
          <w:rFonts w:ascii="Times New Roman" w:eastAsia="Times New Roman" w:hAnsi="Times New Roman" w:cs="Times New Roman"/>
        </w:rPr>
        <w:footnoteReference w:id="256"/>
      </w:r>
      <w:r w:rsidR="0047296C">
        <w:rPr>
          <w:rFonts w:ascii="Times New Roman" w:eastAsia="Times New Roman" w:hAnsi="Times New Roman" w:cs="Times New Roman"/>
        </w:rPr>
        <w:t xml:space="preserve"> Re</w:t>
      </w:r>
      <w:r w:rsidR="005C3ABF">
        <w:rPr>
          <w:rFonts w:ascii="Times New Roman" w:eastAsia="Times New Roman" w:hAnsi="Times New Roman" w:cs="Times New Roman"/>
        </w:rPr>
        <w:t>gar</w:t>
      </w:r>
      <w:r w:rsidR="0047296C">
        <w:rPr>
          <w:rFonts w:ascii="Times New Roman" w:eastAsia="Times New Roman" w:hAnsi="Times New Roman" w:cs="Times New Roman"/>
        </w:rPr>
        <w:t>ding the Microsoft motion, the court held that the plaintiffs did not plausibly allege removal of CMI by Microsoft for the</w:t>
      </w:r>
      <w:r w:rsidR="005C3ABF">
        <w:rPr>
          <w:rFonts w:ascii="Times New Roman" w:eastAsia="Times New Roman" w:hAnsi="Times New Roman" w:cs="Times New Roman"/>
        </w:rPr>
        <w:t xml:space="preserve"> 1202</w:t>
      </w:r>
      <w:r w:rsidR="0047296C">
        <w:rPr>
          <w:rFonts w:ascii="Times New Roman" w:eastAsia="Times New Roman" w:hAnsi="Times New Roman" w:cs="Times New Roman"/>
        </w:rPr>
        <w:t xml:space="preserve"> (b)(1) claim and did not allege any factual support showing distribution under the </w:t>
      </w:r>
      <w:r w:rsidR="005C3ABF">
        <w:rPr>
          <w:rFonts w:ascii="Times New Roman" w:eastAsia="Times New Roman" w:hAnsi="Times New Roman" w:cs="Times New Roman"/>
        </w:rPr>
        <w:t xml:space="preserve">1202 </w:t>
      </w:r>
      <w:r w:rsidR="0047296C">
        <w:rPr>
          <w:rFonts w:ascii="Times New Roman" w:eastAsia="Times New Roman" w:hAnsi="Times New Roman" w:cs="Times New Roman"/>
        </w:rPr>
        <w:t>(b)(3) claim.</w:t>
      </w:r>
      <w:r w:rsidR="00E204DC">
        <w:rPr>
          <w:rStyle w:val="FootnoteReference"/>
          <w:rFonts w:ascii="Times New Roman" w:eastAsia="Times New Roman" w:hAnsi="Times New Roman" w:cs="Times New Roman"/>
        </w:rPr>
        <w:footnoteReference w:id="257"/>
      </w:r>
      <w:r w:rsidR="0047296C">
        <w:rPr>
          <w:rFonts w:ascii="Times New Roman" w:eastAsia="Times New Roman" w:hAnsi="Times New Roman" w:cs="Times New Roman"/>
        </w:rPr>
        <w:t xml:space="preserve"> Regarding the OpenAI motion, the court similarly found that the plaintiffs did not allege any factual support showing that Microsoft distributed any articles as required by </w:t>
      </w:r>
      <w:r w:rsidR="005C3ABF">
        <w:rPr>
          <w:rFonts w:ascii="Times New Roman" w:eastAsia="Times New Roman" w:hAnsi="Times New Roman" w:cs="Times New Roman"/>
        </w:rPr>
        <w:t xml:space="preserve">1202 </w:t>
      </w:r>
      <w:r w:rsidR="0047296C">
        <w:rPr>
          <w:rFonts w:ascii="Times New Roman" w:eastAsia="Times New Roman" w:hAnsi="Times New Roman" w:cs="Times New Roman"/>
        </w:rPr>
        <w:t>(b)(3).</w:t>
      </w:r>
      <w:r w:rsidR="00E204DC">
        <w:rPr>
          <w:rStyle w:val="FootnoteReference"/>
          <w:rFonts w:ascii="Times New Roman" w:eastAsia="Times New Roman" w:hAnsi="Times New Roman" w:cs="Times New Roman"/>
        </w:rPr>
        <w:footnoteReference w:id="258"/>
      </w:r>
      <w:r w:rsidR="0047296C">
        <w:rPr>
          <w:rFonts w:ascii="Times New Roman" w:eastAsia="Times New Roman" w:hAnsi="Times New Roman" w:cs="Times New Roman"/>
        </w:rPr>
        <w:t xml:space="preserve"> However, it denied OpenAI’s motion to dismiss under </w:t>
      </w:r>
      <w:r w:rsidR="005C3ABF">
        <w:rPr>
          <w:rFonts w:ascii="Times New Roman" w:eastAsia="Times New Roman" w:hAnsi="Times New Roman" w:cs="Times New Roman"/>
        </w:rPr>
        <w:t xml:space="preserve">1202 </w:t>
      </w:r>
      <w:r w:rsidR="0047296C">
        <w:rPr>
          <w:rFonts w:ascii="Times New Roman" w:eastAsia="Times New Roman" w:hAnsi="Times New Roman" w:cs="Times New Roman"/>
        </w:rPr>
        <w:t xml:space="preserve">(b)(1) because the plaintiffs did provide </w:t>
      </w:r>
      <w:r w:rsidR="005C3ABF">
        <w:rPr>
          <w:rFonts w:ascii="Times New Roman" w:eastAsia="Times New Roman" w:hAnsi="Times New Roman" w:cs="Times New Roman"/>
        </w:rPr>
        <w:t xml:space="preserve">enough </w:t>
      </w:r>
      <w:r w:rsidR="0047296C">
        <w:rPr>
          <w:rFonts w:ascii="Times New Roman" w:eastAsia="Times New Roman" w:hAnsi="Times New Roman" w:cs="Times New Roman"/>
        </w:rPr>
        <w:t>factual specificity regarding the output by ChatGPT of copyrighted articles without CMI.</w:t>
      </w:r>
      <w:r w:rsidR="00E204DC">
        <w:rPr>
          <w:rStyle w:val="FootnoteReference"/>
          <w:rFonts w:ascii="Times New Roman" w:eastAsia="Times New Roman" w:hAnsi="Times New Roman" w:cs="Times New Roman"/>
        </w:rPr>
        <w:footnoteReference w:id="259"/>
      </w:r>
      <w:r w:rsidR="005C3ABF">
        <w:rPr>
          <w:rFonts w:ascii="Times New Roman" w:eastAsia="Times New Roman" w:hAnsi="Times New Roman" w:cs="Times New Roman"/>
        </w:rPr>
        <w:t xml:space="preserve"> The court found that there were enough details regarding ChatGPT’s “regurgitations” of copyrighted works in ChatGPT’s output to support both the factual and the “double scienter” requirement of the statute.</w:t>
      </w:r>
      <w:r w:rsidR="00E204DC">
        <w:rPr>
          <w:rStyle w:val="FootnoteReference"/>
          <w:rFonts w:ascii="Times New Roman" w:eastAsia="Times New Roman" w:hAnsi="Times New Roman" w:cs="Times New Roman"/>
        </w:rPr>
        <w:footnoteReference w:id="260"/>
      </w:r>
    </w:p>
    <w:p w14:paraId="63ED9098" w14:textId="16262546" w:rsidR="00D529CF" w:rsidRDefault="00D529CF" w:rsidP="00D529CF">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 original, pre-consolidated </w:t>
      </w:r>
      <w:r w:rsidRPr="00D529CF">
        <w:rPr>
          <w:rFonts w:ascii="Times New Roman" w:eastAsia="Times New Roman" w:hAnsi="Times New Roman" w:cs="Times New Roman"/>
          <w:i/>
          <w:iCs/>
        </w:rPr>
        <w:t>New York Times</w:t>
      </w:r>
      <w:r>
        <w:rPr>
          <w:rFonts w:ascii="Times New Roman" w:eastAsia="Times New Roman" w:hAnsi="Times New Roman" w:cs="Times New Roman"/>
        </w:rPr>
        <w:t xml:space="preserve"> case involved multiple plaintiffs and multiple defendants in three separate actions.</w:t>
      </w:r>
      <w:r>
        <w:rPr>
          <w:rStyle w:val="FootnoteReference"/>
          <w:rFonts w:ascii="Times New Roman" w:eastAsia="Times New Roman" w:hAnsi="Times New Roman" w:cs="Times New Roman"/>
        </w:rPr>
        <w:footnoteReference w:id="261"/>
      </w:r>
      <w:r>
        <w:rPr>
          <w:rFonts w:ascii="Times New Roman" w:eastAsia="Times New Roman" w:hAnsi="Times New Roman" w:cs="Times New Roman"/>
        </w:rPr>
        <w:t xml:space="preserve"> </w:t>
      </w:r>
      <w:r w:rsidR="00A81706" w:rsidRPr="00FF0DAD">
        <w:rPr>
          <w:rFonts w:ascii="Times New Roman" w:hAnsi="Times New Roman" w:cs="Times New Roman"/>
        </w:rPr>
        <w:t>The</w:t>
      </w:r>
      <w:r w:rsidR="00A81706">
        <w:rPr>
          <w:rFonts w:ascii="Times New Roman" w:hAnsi="Times New Roman" w:cs="Times New Roman"/>
        </w:rPr>
        <w:t xml:space="preserve"> New York Times</w:t>
      </w:r>
      <w:r w:rsidR="00A81706" w:rsidRPr="00FF0DAD">
        <w:rPr>
          <w:rFonts w:ascii="Times New Roman" w:hAnsi="Times New Roman" w:cs="Times New Roman"/>
        </w:rPr>
        <w:t xml:space="preserve"> alleges that large language models reproduced and summarized </w:t>
      </w:r>
      <w:r w:rsidR="00A81706">
        <w:rPr>
          <w:rFonts w:ascii="Times New Roman" w:hAnsi="Times New Roman" w:cs="Times New Roman"/>
        </w:rPr>
        <w:t>much</w:t>
      </w:r>
      <w:r w:rsidR="00A81706" w:rsidRPr="00FF0DAD">
        <w:rPr>
          <w:rFonts w:ascii="Times New Roman" w:hAnsi="Times New Roman" w:cs="Times New Roman"/>
        </w:rPr>
        <w:t xml:space="preserve"> of its journalism during both training and output, infringing its exclusive rights of reproduction and derivative work creation, and harming licensing markets for news archives</w:t>
      </w:r>
      <w:r w:rsidR="00A81706" w:rsidRPr="00FF0DAD">
        <w:rPr>
          <w:rFonts w:ascii="Times New Roman" w:eastAsia="Times New Roman" w:hAnsi="Times New Roman" w:cs="Times New Roman"/>
        </w:rPr>
        <w:t>.</w:t>
      </w:r>
      <w:r w:rsidR="00A81706" w:rsidRPr="00FF0DAD">
        <w:rPr>
          <w:rStyle w:val="FootnoteReference"/>
          <w:rFonts w:ascii="Times New Roman" w:eastAsia="Times New Roman" w:hAnsi="Times New Roman" w:cs="Times New Roman"/>
        </w:rPr>
        <w:footnoteReference w:id="262"/>
      </w:r>
      <w:r w:rsidR="00A81706" w:rsidRPr="00FF0DAD">
        <w:rPr>
          <w:rFonts w:ascii="Times New Roman" w:eastAsia="Times New Roman" w:hAnsi="Times New Roman" w:cs="Times New Roman"/>
        </w:rPr>
        <w:t xml:space="preserve"> </w:t>
      </w:r>
      <w:r w:rsidR="005D7C97">
        <w:rPr>
          <w:rFonts w:ascii="Times New Roman" w:eastAsia="Times New Roman" w:hAnsi="Times New Roman" w:cs="Times New Roman"/>
        </w:rPr>
        <w:t>The decisions on a variety of motions to dismiss generally followed the patterns of the other generative-AI cases: copyright infringement claims regarding both training and output survive, but only very carefully and specifically pleased claims under the DMCA survive.</w:t>
      </w:r>
      <w:r w:rsidR="005D7C97">
        <w:rPr>
          <w:rStyle w:val="FootnoteReference"/>
          <w:rFonts w:ascii="Times New Roman" w:eastAsia="Times New Roman" w:hAnsi="Times New Roman" w:cs="Times New Roman"/>
        </w:rPr>
        <w:footnoteReference w:id="263"/>
      </w:r>
      <w:r w:rsidR="005D7C97">
        <w:rPr>
          <w:rFonts w:ascii="Times New Roman" w:eastAsia="Times New Roman" w:hAnsi="Times New Roman" w:cs="Times New Roman"/>
        </w:rPr>
        <w:t xml:space="preserve"> </w:t>
      </w:r>
      <w:r w:rsidR="006F17C3">
        <w:rPr>
          <w:rFonts w:ascii="Times New Roman" w:eastAsia="Times New Roman" w:hAnsi="Times New Roman" w:cs="Times New Roman"/>
        </w:rPr>
        <w:t xml:space="preserve">Regarding the DMCA claims, the results </w:t>
      </w:r>
      <w:r w:rsidR="00170464">
        <w:rPr>
          <w:rFonts w:ascii="Times New Roman" w:eastAsia="Times New Roman" w:hAnsi="Times New Roman" w:cs="Times New Roman"/>
        </w:rPr>
        <w:t>echoed most of the other cases: the court dismissed all of the DMCA claims (without prejudice) against all of the defendants for failure to plead sufficient facts, except for claims made by plaintiff Daily News and plaintiff CIR under Section 1202 (b)(1).</w:t>
      </w:r>
      <w:r w:rsidR="00170464">
        <w:rPr>
          <w:rStyle w:val="FootnoteReference"/>
          <w:rFonts w:ascii="Times New Roman" w:eastAsia="Times New Roman" w:hAnsi="Times New Roman" w:cs="Times New Roman"/>
        </w:rPr>
        <w:footnoteReference w:id="264"/>
      </w:r>
      <w:r w:rsidR="00170464">
        <w:rPr>
          <w:rFonts w:ascii="Times New Roman" w:eastAsia="Times New Roman" w:hAnsi="Times New Roman" w:cs="Times New Roman"/>
        </w:rPr>
        <w:t xml:space="preserve"> The court found that both the Daily News complaint and CIR complaint stated in detail how CMI was removed during </w:t>
      </w:r>
      <w:r w:rsidR="005B1187">
        <w:rPr>
          <w:rFonts w:ascii="Times New Roman" w:eastAsia="Times New Roman" w:hAnsi="Times New Roman" w:cs="Times New Roman"/>
        </w:rPr>
        <w:t xml:space="preserve">either </w:t>
      </w:r>
      <w:r w:rsidR="00170464">
        <w:rPr>
          <w:rFonts w:ascii="Times New Roman" w:eastAsia="Times New Roman" w:hAnsi="Times New Roman" w:cs="Times New Roman"/>
        </w:rPr>
        <w:t xml:space="preserve">the extraction </w:t>
      </w:r>
      <w:r w:rsidR="005B1187">
        <w:rPr>
          <w:rFonts w:ascii="Times New Roman" w:eastAsia="Times New Roman" w:hAnsi="Times New Roman" w:cs="Times New Roman"/>
        </w:rPr>
        <w:t>process or the process of assembling the training dataset.</w:t>
      </w:r>
      <w:r w:rsidR="005B1187">
        <w:rPr>
          <w:rStyle w:val="FootnoteReference"/>
          <w:rFonts w:ascii="Times New Roman" w:eastAsia="Times New Roman" w:hAnsi="Times New Roman" w:cs="Times New Roman"/>
        </w:rPr>
        <w:footnoteReference w:id="265"/>
      </w:r>
      <w:r w:rsidR="005B1187">
        <w:rPr>
          <w:rFonts w:ascii="Times New Roman" w:eastAsia="Times New Roman" w:hAnsi="Times New Roman" w:cs="Times New Roman"/>
        </w:rPr>
        <w:t xml:space="preserve"> The court also found that both complaints “plausibly allege[d] that OpenAI’s CMI removal was intentional.”</w:t>
      </w:r>
      <w:r w:rsidR="005B1187">
        <w:rPr>
          <w:rStyle w:val="FootnoteReference"/>
          <w:rFonts w:ascii="Times New Roman" w:eastAsia="Times New Roman" w:hAnsi="Times New Roman" w:cs="Times New Roman"/>
        </w:rPr>
        <w:footnoteReference w:id="266"/>
      </w:r>
    </w:p>
    <w:p w14:paraId="4475D36E" w14:textId="080E9EB3" w:rsidR="00481785" w:rsidRPr="005D13BF" w:rsidRDefault="00481785" w:rsidP="005D13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60" w:name="_Toc220693082"/>
      <w:bookmarkStart w:id="61" w:name="_Toc211877777"/>
      <w:r w:rsidRPr="005D13BF">
        <w:rPr>
          <w:rFonts w:ascii="Times New Roman" w:eastAsia="Times New Roman" w:hAnsi="Times New Roman" w:cs="Times New Roman"/>
          <w:b/>
          <w:bCs/>
          <w:kern w:val="0"/>
          <w:sz w:val="36"/>
          <w:szCs w:val="36"/>
          <w14:ligatures w14:val="none"/>
        </w:rPr>
        <w:lastRenderedPageBreak/>
        <w:t>PART VIII. EVOLUTION OF A NEW “AI-GENERATED” BUILDING BLOCK</w:t>
      </w:r>
      <w:bookmarkEnd w:id="60"/>
    </w:p>
    <w:p w14:paraId="55748E90" w14:textId="719B328C" w:rsidR="00481785" w:rsidRPr="005D13BF" w:rsidRDefault="00481785" w:rsidP="005D13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2" w:name="_Toc220693083"/>
      <w:r w:rsidRPr="005D13BF">
        <w:rPr>
          <w:rFonts w:ascii="Times New Roman" w:eastAsia="Times New Roman" w:hAnsi="Times New Roman" w:cs="Times New Roman"/>
          <w:b/>
          <w:bCs/>
          <w:kern w:val="0"/>
          <w:sz w:val="27"/>
          <w:szCs w:val="27"/>
          <w14:ligatures w14:val="none"/>
        </w:rPr>
        <w:t>A. Training</w:t>
      </w:r>
      <w:bookmarkEnd w:id="62"/>
    </w:p>
    <w:p w14:paraId="1AC26FB2" w14:textId="45863886" w:rsidR="00146A08" w:rsidRDefault="0045632D" w:rsidP="00146A08">
      <w:pPr>
        <w:rPr>
          <w:rFonts w:ascii="Times New Roman" w:hAnsi="Times New Roman" w:cs="Times New Roman"/>
        </w:rPr>
      </w:pPr>
      <w:r>
        <w:rPr>
          <w:rFonts w:ascii="Times New Roman" w:hAnsi="Times New Roman" w:cs="Times New Roman"/>
        </w:rPr>
        <w:t>This is the big issue today</w:t>
      </w:r>
      <w:r w:rsidR="00121D6D">
        <w:rPr>
          <w:rFonts w:ascii="Times New Roman" w:hAnsi="Times New Roman" w:cs="Times New Roman"/>
        </w:rPr>
        <w:t>. A few pre-generative AI cases have laid a very strong foundation favoring fair use.</w:t>
      </w:r>
      <w:r w:rsidR="00376114">
        <w:rPr>
          <w:rFonts w:ascii="Times New Roman" w:hAnsi="Times New Roman" w:cs="Times New Roman"/>
        </w:rPr>
        <w:t xml:space="preserve"> </w:t>
      </w:r>
      <w:r w:rsidR="00376114" w:rsidRPr="00FC7B77">
        <w:rPr>
          <w:rFonts w:ascii="Times New Roman" w:hAnsi="Times New Roman" w:cs="Times New Roman"/>
          <w:i/>
        </w:rPr>
        <w:t>HathiTrust</w:t>
      </w:r>
      <w:r w:rsidR="00DC641A">
        <w:rPr>
          <w:rStyle w:val="FootnoteReference"/>
          <w:rFonts w:ascii="Times New Roman" w:hAnsi="Times New Roman" w:cs="Times New Roman"/>
          <w:i/>
        </w:rPr>
        <w:footnoteReference w:id="267"/>
      </w:r>
      <w:r w:rsidR="00376114" w:rsidRPr="00FC7B77">
        <w:rPr>
          <w:rFonts w:ascii="Times New Roman" w:hAnsi="Times New Roman" w:cs="Times New Roman"/>
          <w:i/>
        </w:rPr>
        <w:t xml:space="preserve"> </w:t>
      </w:r>
      <w:r w:rsidR="00376114">
        <w:rPr>
          <w:rFonts w:ascii="Times New Roman" w:hAnsi="Times New Roman" w:cs="Times New Roman"/>
        </w:rPr>
        <w:t xml:space="preserve">and </w:t>
      </w:r>
      <w:r w:rsidR="00376114" w:rsidRPr="00FC7B77">
        <w:rPr>
          <w:rFonts w:ascii="Times New Roman" w:hAnsi="Times New Roman" w:cs="Times New Roman"/>
          <w:i/>
        </w:rPr>
        <w:t>Google Books</w:t>
      </w:r>
      <w:r w:rsidR="00DC641A">
        <w:rPr>
          <w:rStyle w:val="FootnoteReference"/>
          <w:rFonts w:ascii="Times New Roman" w:hAnsi="Times New Roman" w:cs="Times New Roman"/>
          <w:i/>
        </w:rPr>
        <w:footnoteReference w:id="268"/>
      </w:r>
      <w:r w:rsidR="00376114">
        <w:rPr>
          <w:rFonts w:ascii="Times New Roman" w:hAnsi="Times New Roman" w:cs="Times New Roman"/>
        </w:rPr>
        <w:t xml:space="preserve"> laid extremely strong cornerstones in the realm of search engines and fair use. They </w:t>
      </w:r>
      <w:r w:rsidR="00FC7B77">
        <w:rPr>
          <w:rFonts w:ascii="Times New Roman" w:hAnsi="Times New Roman" w:cs="Times New Roman"/>
        </w:rPr>
        <w:t>focus</w:t>
      </w:r>
      <w:r w:rsidR="00376114">
        <w:rPr>
          <w:rFonts w:ascii="Times New Roman" w:hAnsi="Times New Roman" w:cs="Times New Roman"/>
        </w:rPr>
        <w:t xml:space="preserve">ed </w:t>
      </w:r>
      <w:r w:rsidR="00FC7B77">
        <w:rPr>
          <w:rFonts w:ascii="Times New Roman" w:hAnsi="Times New Roman" w:cs="Times New Roman"/>
        </w:rPr>
        <w:t xml:space="preserve">on </w:t>
      </w:r>
      <w:r w:rsidR="00376114">
        <w:rPr>
          <w:rFonts w:ascii="Times New Roman" w:hAnsi="Times New Roman" w:cs="Times New Roman"/>
        </w:rPr>
        <w:t xml:space="preserve">the transformative nature of the resulting </w:t>
      </w:r>
      <w:r w:rsidR="00FC7B77">
        <w:rPr>
          <w:rFonts w:ascii="Times New Roman" w:hAnsi="Times New Roman" w:cs="Times New Roman"/>
        </w:rPr>
        <w:t xml:space="preserve">uses and </w:t>
      </w:r>
      <w:r w:rsidR="00376114">
        <w:rPr>
          <w:rFonts w:ascii="Times New Roman" w:hAnsi="Times New Roman" w:cs="Times New Roman"/>
        </w:rPr>
        <w:t>prod</w:t>
      </w:r>
      <w:r w:rsidR="00FC7B77">
        <w:rPr>
          <w:rFonts w:ascii="Times New Roman" w:hAnsi="Times New Roman" w:cs="Times New Roman"/>
        </w:rPr>
        <w:t>ucts</w:t>
      </w:r>
      <w:r w:rsidR="00376114">
        <w:rPr>
          <w:rFonts w:ascii="Times New Roman" w:hAnsi="Times New Roman" w:cs="Times New Roman"/>
        </w:rPr>
        <w:t>.</w:t>
      </w:r>
      <w:r w:rsidR="00FC7B77">
        <w:rPr>
          <w:rFonts w:ascii="Times New Roman" w:hAnsi="Times New Roman" w:cs="Times New Roman"/>
        </w:rPr>
        <w:t xml:space="preserve"> </w:t>
      </w:r>
      <w:r w:rsidR="00FC7B77" w:rsidRPr="00FC7B77">
        <w:rPr>
          <w:rFonts w:ascii="Times New Roman" w:hAnsi="Times New Roman" w:cs="Times New Roman"/>
          <w:i/>
        </w:rPr>
        <w:t>Google v. Oracle</w:t>
      </w:r>
      <w:r w:rsidR="00DC641A">
        <w:rPr>
          <w:rStyle w:val="FootnoteReference"/>
          <w:rFonts w:ascii="Times New Roman" w:hAnsi="Times New Roman" w:cs="Times New Roman"/>
          <w:i/>
        </w:rPr>
        <w:footnoteReference w:id="269"/>
      </w:r>
      <w:r w:rsidR="00FC7B77">
        <w:rPr>
          <w:rFonts w:ascii="Times New Roman" w:hAnsi="Times New Roman" w:cs="Times New Roman"/>
        </w:rPr>
        <w:t xml:space="preserve"> broadened fair use to permit even the verbatim copying of large chunks of code. </w:t>
      </w:r>
    </w:p>
    <w:p w14:paraId="78A584AA" w14:textId="2E9BFA65" w:rsidR="00146A08" w:rsidRDefault="00FC7B77" w:rsidP="00146A08">
      <w:pPr>
        <w:rPr>
          <w:rFonts w:ascii="Times New Roman" w:hAnsi="Times New Roman" w:cs="Times New Roman"/>
        </w:rPr>
      </w:pPr>
      <w:r>
        <w:rPr>
          <w:rFonts w:ascii="Times New Roman" w:hAnsi="Times New Roman" w:cs="Times New Roman"/>
        </w:rPr>
        <w:t>All three cases emphasized the importance of the very purpose</w:t>
      </w:r>
      <w:r w:rsidR="003B495D">
        <w:rPr>
          <w:rFonts w:ascii="Times New Roman" w:hAnsi="Times New Roman" w:cs="Times New Roman"/>
        </w:rPr>
        <w:t xml:space="preserve"> of copyright law</w:t>
      </w:r>
      <w:r>
        <w:rPr>
          <w:rFonts w:ascii="Times New Roman" w:hAnsi="Times New Roman" w:cs="Times New Roman"/>
        </w:rPr>
        <w:t xml:space="preserve">. In </w:t>
      </w:r>
      <w:r w:rsidRPr="00FC7B77">
        <w:rPr>
          <w:rFonts w:ascii="Times New Roman" w:hAnsi="Times New Roman" w:cs="Times New Roman"/>
          <w:i/>
        </w:rPr>
        <w:t>HathiTrust</w:t>
      </w:r>
      <w:r>
        <w:rPr>
          <w:rFonts w:ascii="Times New Roman" w:hAnsi="Times New Roman" w:cs="Times New Roman"/>
        </w:rPr>
        <w:t xml:space="preserve">, quoting from </w:t>
      </w:r>
      <w:r w:rsidRPr="00FC7B77">
        <w:rPr>
          <w:rFonts w:ascii="Times New Roman" w:hAnsi="Times New Roman" w:cs="Times New Roman"/>
          <w:i/>
        </w:rPr>
        <w:t>Campbell</w:t>
      </w:r>
      <w:r>
        <w:rPr>
          <w:rFonts w:ascii="Times New Roman" w:hAnsi="Times New Roman" w:cs="Times New Roman"/>
        </w:rPr>
        <w:t xml:space="preserve"> and the U.S. Constitution, the court stated that </w:t>
      </w:r>
      <w:r w:rsidR="003B495D" w:rsidRPr="003B495D">
        <w:rPr>
          <w:rFonts w:ascii="Times New Roman" w:hAnsi="Times New Roman" w:cs="Times New Roman"/>
        </w:rPr>
        <w:t>“</w:t>
      </w:r>
      <w:r w:rsidR="003B495D">
        <w:rPr>
          <w:rFonts w:ascii="Times New Roman" w:hAnsi="Times New Roman" w:cs="Times New Roman"/>
        </w:rPr>
        <w:t>[f]</w:t>
      </w:r>
      <w:r w:rsidR="003B495D" w:rsidRPr="003B495D">
        <w:rPr>
          <w:rFonts w:ascii="Times New Roman" w:hAnsi="Times New Roman" w:cs="Times New Roman"/>
        </w:rPr>
        <w:t>rom the infancy of copyright</w:t>
      </w:r>
      <w:r w:rsidR="003B495D">
        <w:rPr>
          <w:rFonts w:ascii="Times New Roman" w:hAnsi="Times New Roman" w:cs="Times New Roman"/>
        </w:rPr>
        <w:t xml:space="preserve"> </w:t>
      </w:r>
      <w:r w:rsidR="003B495D" w:rsidRPr="003B495D">
        <w:rPr>
          <w:rFonts w:ascii="Times New Roman" w:hAnsi="Times New Roman" w:cs="Times New Roman"/>
        </w:rPr>
        <w:t>protection, some opportunity for fair use of copyrighted</w:t>
      </w:r>
      <w:r w:rsidR="003B495D">
        <w:rPr>
          <w:rFonts w:ascii="Times New Roman" w:hAnsi="Times New Roman" w:cs="Times New Roman"/>
        </w:rPr>
        <w:t xml:space="preserve"> </w:t>
      </w:r>
      <w:r w:rsidR="003B495D" w:rsidRPr="003B495D">
        <w:rPr>
          <w:rFonts w:ascii="Times New Roman" w:hAnsi="Times New Roman" w:cs="Times New Roman"/>
        </w:rPr>
        <w:t>materials has been thought necessary to fulfill copyright's</w:t>
      </w:r>
      <w:r w:rsidR="003B495D">
        <w:rPr>
          <w:rFonts w:ascii="Times New Roman" w:hAnsi="Times New Roman" w:cs="Times New Roman"/>
        </w:rPr>
        <w:t xml:space="preserve"> </w:t>
      </w:r>
      <w:r w:rsidR="003B495D" w:rsidRPr="003B495D">
        <w:rPr>
          <w:rFonts w:ascii="Times New Roman" w:hAnsi="Times New Roman" w:cs="Times New Roman"/>
        </w:rPr>
        <w:t>very purpose, ‘[t]o promote the Progress of Science and useful</w:t>
      </w:r>
      <w:r w:rsidR="003B495D">
        <w:rPr>
          <w:rFonts w:ascii="Times New Roman" w:hAnsi="Times New Roman" w:cs="Times New Roman"/>
        </w:rPr>
        <w:t xml:space="preserve"> </w:t>
      </w:r>
      <w:r w:rsidR="003B495D" w:rsidRPr="003B495D">
        <w:rPr>
          <w:rFonts w:ascii="Times New Roman" w:hAnsi="Times New Roman" w:cs="Times New Roman"/>
        </w:rPr>
        <w:t>Arts....'</w:t>
      </w:r>
      <w:r w:rsidR="003B495D">
        <w:rPr>
          <w:rFonts w:ascii="Times New Roman" w:hAnsi="Times New Roman" w:cs="Times New Roman"/>
        </w:rPr>
        <w:t>.</w:t>
      </w:r>
      <w:r w:rsidR="003B495D" w:rsidRPr="003B495D">
        <w:rPr>
          <w:rFonts w:ascii="Times New Roman" w:hAnsi="Times New Roman" w:cs="Times New Roman"/>
        </w:rPr>
        <w:t xml:space="preserve"> ”</w:t>
      </w:r>
      <w:r w:rsidR="003B495D">
        <w:rPr>
          <w:rStyle w:val="FootnoteReference"/>
          <w:rFonts w:ascii="Times New Roman" w:hAnsi="Times New Roman" w:cs="Times New Roman"/>
        </w:rPr>
        <w:footnoteReference w:id="270"/>
      </w:r>
      <w:r w:rsidR="003B495D">
        <w:rPr>
          <w:rFonts w:ascii="Times New Roman" w:hAnsi="Times New Roman" w:cs="Times New Roman"/>
        </w:rPr>
        <w:t xml:space="preserve"> </w:t>
      </w:r>
      <w:r w:rsidR="003B495D" w:rsidRPr="003B495D">
        <w:rPr>
          <w:rFonts w:ascii="Times New Roman" w:hAnsi="Times New Roman" w:cs="Times New Roman"/>
          <w:i/>
        </w:rPr>
        <w:t>Google Books</w:t>
      </w:r>
      <w:r w:rsidR="003B495D">
        <w:rPr>
          <w:rFonts w:ascii="Times New Roman" w:hAnsi="Times New Roman" w:cs="Times New Roman"/>
        </w:rPr>
        <w:t>, also referring to the Constitutional charge to Congress, added that “[t]</w:t>
      </w:r>
      <w:r w:rsidR="003B495D" w:rsidRPr="003B495D">
        <w:rPr>
          <w:rFonts w:ascii="Times New Roman" w:hAnsi="Times New Roman" w:cs="Times New Roman"/>
        </w:rPr>
        <w:t>he ultimate goal of copyright is to expand</w:t>
      </w:r>
      <w:r w:rsidR="003B495D">
        <w:rPr>
          <w:rFonts w:ascii="Times New Roman" w:hAnsi="Times New Roman" w:cs="Times New Roman"/>
        </w:rPr>
        <w:t xml:space="preserve"> </w:t>
      </w:r>
      <w:r w:rsidR="003B495D" w:rsidRPr="003B495D">
        <w:rPr>
          <w:rFonts w:ascii="Times New Roman" w:hAnsi="Times New Roman" w:cs="Times New Roman"/>
        </w:rPr>
        <w:t>public knowledge and understanding, which copyright seeks</w:t>
      </w:r>
      <w:r w:rsidR="003B495D">
        <w:rPr>
          <w:rFonts w:ascii="Times New Roman" w:hAnsi="Times New Roman" w:cs="Times New Roman"/>
        </w:rPr>
        <w:t xml:space="preserve"> </w:t>
      </w:r>
      <w:r w:rsidR="003B495D" w:rsidRPr="003B495D">
        <w:rPr>
          <w:rFonts w:ascii="Times New Roman" w:hAnsi="Times New Roman" w:cs="Times New Roman"/>
        </w:rPr>
        <w:t>to achieve by giving potential creators exclusive control</w:t>
      </w:r>
      <w:r w:rsidR="003B495D">
        <w:rPr>
          <w:rFonts w:ascii="Times New Roman" w:hAnsi="Times New Roman" w:cs="Times New Roman"/>
        </w:rPr>
        <w:t xml:space="preserve"> </w:t>
      </w:r>
      <w:r w:rsidR="003B495D" w:rsidRPr="003B495D">
        <w:rPr>
          <w:rFonts w:ascii="Times New Roman" w:hAnsi="Times New Roman" w:cs="Times New Roman"/>
        </w:rPr>
        <w:t>over copying of their works, thus giving them a financial</w:t>
      </w:r>
      <w:r w:rsidR="003B495D">
        <w:rPr>
          <w:rFonts w:ascii="Times New Roman" w:hAnsi="Times New Roman" w:cs="Times New Roman"/>
        </w:rPr>
        <w:t xml:space="preserve"> </w:t>
      </w:r>
      <w:r w:rsidR="003B495D" w:rsidRPr="003B495D">
        <w:rPr>
          <w:rFonts w:ascii="Times New Roman" w:hAnsi="Times New Roman" w:cs="Times New Roman"/>
        </w:rPr>
        <w:t>incentive to create informative, intellectually enriching works</w:t>
      </w:r>
      <w:r w:rsidR="003B495D">
        <w:rPr>
          <w:rFonts w:ascii="Times New Roman" w:hAnsi="Times New Roman" w:cs="Times New Roman"/>
        </w:rPr>
        <w:t xml:space="preserve"> </w:t>
      </w:r>
      <w:r w:rsidR="003B495D" w:rsidRPr="003B495D">
        <w:rPr>
          <w:rFonts w:ascii="Times New Roman" w:hAnsi="Times New Roman" w:cs="Times New Roman"/>
        </w:rPr>
        <w:t>for public consumption.</w:t>
      </w:r>
      <w:r w:rsidR="003B495D">
        <w:rPr>
          <w:rFonts w:ascii="Times New Roman" w:hAnsi="Times New Roman" w:cs="Times New Roman"/>
        </w:rPr>
        <w:t>”</w:t>
      </w:r>
      <w:r w:rsidR="003B495D">
        <w:rPr>
          <w:rStyle w:val="FootnoteReference"/>
          <w:rFonts w:ascii="Times New Roman" w:hAnsi="Times New Roman" w:cs="Times New Roman"/>
        </w:rPr>
        <w:footnoteReference w:id="271"/>
      </w:r>
      <w:r w:rsidR="00146A08">
        <w:rPr>
          <w:rFonts w:ascii="Times New Roman" w:hAnsi="Times New Roman" w:cs="Times New Roman"/>
        </w:rPr>
        <w:t xml:space="preserve"> In </w:t>
      </w:r>
      <w:r w:rsidR="000C20B7">
        <w:rPr>
          <w:rFonts w:ascii="Times New Roman" w:hAnsi="Times New Roman" w:cs="Times New Roman"/>
        </w:rPr>
        <w:t xml:space="preserve">further </w:t>
      </w:r>
      <w:r w:rsidR="00146A08">
        <w:rPr>
          <w:rFonts w:ascii="Times New Roman" w:hAnsi="Times New Roman" w:cs="Times New Roman"/>
        </w:rPr>
        <w:t xml:space="preserve">elaborating on Congress’s charge, the Supreme Court, in </w:t>
      </w:r>
      <w:r w:rsidR="00146A08" w:rsidRPr="00146A08">
        <w:rPr>
          <w:rFonts w:ascii="Times New Roman" w:hAnsi="Times New Roman" w:cs="Times New Roman"/>
          <w:i/>
        </w:rPr>
        <w:t>Google v. Oracle</w:t>
      </w:r>
      <w:r w:rsidR="00146A08">
        <w:rPr>
          <w:rFonts w:ascii="Times New Roman" w:hAnsi="Times New Roman" w:cs="Times New Roman"/>
        </w:rPr>
        <w:t xml:space="preserve"> stated that “</w:t>
      </w:r>
      <w:r w:rsidR="00146A08" w:rsidRPr="00146A08">
        <w:rPr>
          <w:rFonts w:ascii="Times New Roman" w:hAnsi="Times New Roman" w:cs="Times New Roman"/>
        </w:rPr>
        <w:t>Congress and the courts have limited the scope of copyright</w:t>
      </w:r>
      <w:r w:rsidR="00146A08">
        <w:rPr>
          <w:rFonts w:ascii="Times New Roman" w:hAnsi="Times New Roman" w:cs="Times New Roman"/>
        </w:rPr>
        <w:t xml:space="preserve"> </w:t>
      </w:r>
      <w:r w:rsidR="00146A08" w:rsidRPr="00146A08">
        <w:rPr>
          <w:rFonts w:ascii="Times New Roman" w:hAnsi="Times New Roman" w:cs="Times New Roman"/>
        </w:rPr>
        <w:t>protection to ensure that a copyright holder's monopoly does</w:t>
      </w:r>
      <w:r w:rsidR="00146A08">
        <w:rPr>
          <w:rFonts w:ascii="Times New Roman" w:hAnsi="Times New Roman" w:cs="Times New Roman"/>
        </w:rPr>
        <w:t xml:space="preserve"> </w:t>
      </w:r>
      <w:r w:rsidR="00146A08" w:rsidRPr="00146A08">
        <w:rPr>
          <w:rFonts w:ascii="Times New Roman" w:hAnsi="Times New Roman" w:cs="Times New Roman"/>
        </w:rPr>
        <w:t>not harm the public interest.</w:t>
      </w:r>
      <w:r w:rsidR="00146A08">
        <w:rPr>
          <w:rFonts w:ascii="Times New Roman" w:hAnsi="Times New Roman" w:cs="Times New Roman"/>
        </w:rPr>
        <w:t>”</w:t>
      </w:r>
      <w:r w:rsidR="00DC641A">
        <w:rPr>
          <w:rStyle w:val="FootnoteReference"/>
          <w:rFonts w:ascii="Times New Roman" w:hAnsi="Times New Roman" w:cs="Times New Roman"/>
        </w:rPr>
        <w:footnoteReference w:id="272"/>
      </w:r>
      <w:r w:rsidR="00146A08">
        <w:rPr>
          <w:rFonts w:ascii="Times New Roman" w:hAnsi="Times New Roman" w:cs="Times New Roman"/>
        </w:rPr>
        <w:t xml:space="preserve"> The Court continued that two </w:t>
      </w:r>
      <w:r w:rsidR="00DC641A">
        <w:rPr>
          <w:rFonts w:ascii="Times New Roman" w:hAnsi="Times New Roman" w:cs="Times New Roman"/>
        </w:rPr>
        <w:t>important limits were implicated by the case: “[f]</w:t>
      </w:r>
      <w:proofErr w:type="spellStart"/>
      <w:r w:rsidR="00146A08" w:rsidRPr="00146A08">
        <w:rPr>
          <w:rFonts w:ascii="Times New Roman" w:hAnsi="Times New Roman" w:cs="Times New Roman"/>
        </w:rPr>
        <w:t>irst</w:t>
      </w:r>
      <w:proofErr w:type="spellEnd"/>
      <w:r w:rsidR="00146A08" w:rsidRPr="00146A08">
        <w:rPr>
          <w:rFonts w:ascii="Times New Roman" w:hAnsi="Times New Roman" w:cs="Times New Roman"/>
        </w:rPr>
        <w:t xml:space="preserve">, the </w:t>
      </w:r>
      <w:r w:rsidR="00DC641A">
        <w:rPr>
          <w:rFonts w:ascii="Times New Roman" w:hAnsi="Times New Roman" w:cs="Times New Roman"/>
        </w:rPr>
        <w:t xml:space="preserve">[Copyright] </w:t>
      </w:r>
      <w:r w:rsidR="00146A08" w:rsidRPr="00146A08">
        <w:rPr>
          <w:rFonts w:ascii="Times New Roman" w:hAnsi="Times New Roman" w:cs="Times New Roman"/>
        </w:rPr>
        <w:t>Act provides that copyright protection cannot</w:t>
      </w:r>
      <w:r w:rsidR="00DC641A">
        <w:rPr>
          <w:rFonts w:ascii="Times New Roman" w:hAnsi="Times New Roman" w:cs="Times New Roman"/>
        </w:rPr>
        <w:t xml:space="preserve"> </w:t>
      </w:r>
      <w:r w:rsidR="00146A08" w:rsidRPr="00146A08">
        <w:rPr>
          <w:rFonts w:ascii="Times New Roman" w:hAnsi="Times New Roman" w:cs="Times New Roman"/>
        </w:rPr>
        <w:t xml:space="preserve">extend to </w:t>
      </w:r>
      <w:r w:rsidR="00DC641A">
        <w:rPr>
          <w:rFonts w:ascii="Times New Roman" w:hAnsi="Times New Roman" w:cs="Times New Roman"/>
        </w:rPr>
        <w:t>‘</w:t>
      </w:r>
      <w:r w:rsidR="00146A08" w:rsidRPr="00146A08">
        <w:rPr>
          <w:rFonts w:ascii="Times New Roman" w:hAnsi="Times New Roman" w:cs="Times New Roman"/>
        </w:rPr>
        <w:t>any idea, procedure, process, system, method of</w:t>
      </w:r>
      <w:r w:rsidR="00DC641A">
        <w:rPr>
          <w:rFonts w:ascii="Times New Roman" w:hAnsi="Times New Roman" w:cs="Times New Roman"/>
        </w:rPr>
        <w:t xml:space="preserve"> </w:t>
      </w:r>
      <w:r w:rsidR="00146A08" w:rsidRPr="00146A08">
        <w:rPr>
          <w:rFonts w:ascii="Times New Roman" w:hAnsi="Times New Roman" w:cs="Times New Roman"/>
        </w:rPr>
        <w:t xml:space="preserve">operation, concept, principle, or discovery </w:t>
      </w:r>
      <w:r w:rsidR="00DC641A">
        <w:rPr>
          <w:rFonts w:ascii="Times New Roman" w:hAnsi="Times New Roman" w:cs="Times New Roman"/>
        </w:rPr>
        <w:t xml:space="preserve">. . .’  [and </w:t>
      </w:r>
      <w:proofErr w:type="gramStart"/>
      <w:r w:rsidR="00DC641A">
        <w:rPr>
          <w:rFonts w:ascii="Times New Roman" w:hAnsi="Times New Roman" w:cs="Times New Roman"/>
        </w:rPr>
        <w:t>s]</w:t>
      </w:r>
      <w:proofErr w:type="spellStart"/>
      <w:r w:rsidR="00146A08" w:rsidRPr="00146A08">
        <w:rPr>
          <w:rFonts w:ascii="Times New Roman" w:hAnsi="Times New Roman" w:cs="Times New Roman"/>
        </w:rPr>
        <w:t>econd</w:t>
      </w:r>
      <w:proofErr w:type="spellEnd"/>
      <w:proofErr w:type="gramEnd"/>
      <w:r w:rsidR="00146A08" w:rsidRPr="00146A08">
        <w:rPr>
          <w:rFonts w:ascii="Times New Roman" w:hAnsi="Times New Roman" w:cs="Times New Roman"/>
        </w:rPr>
        <w:t>, the Act provides that a copyright holder may</w:t>
      </w:r>
      <w:r w:rsidR="00DC641A">
        <w:rPr>
          <w:rFonts w:ascii="Times New Roman" w:hAnsi="Times New Roman" w:cs="Times New Roman"/>
        </w:rPr>
        <w:t xml:space="preserve"> </w:t>
      </w:r>
      <w:r w:rsidR="00146A08" w:rsidRPr="00146A08">
        <w:rPr>
          <w:rFonts w:ascii="Times New Roman" w:hAnsi="Times New Roman" w:cs="Times New Roman"/>
        </w:rPr>
        <w:t xml:space="preserve">not prevent another person from making a </w:t>
      </w:r>
      <w:r w:rsidR="00DC641A">
        <w:rPr>
          <w:rFonts w:ascii="Times New Roman" w:hAnsi="Times New Roman" w:cs="Times New Roman"/>
        </w:rPr>
        <w:t>‘</w:t>
      </w:r>
      <w:r w:rsidR="00146A08" w:rsidRPr="00146A08">
        <w:rPr>
          <w:rFonts w:ascii="Times New Roman" w:hAnsi="Times New Roman" w:cs="Times New Roman"/>
        </w:rPr>
        <w:t>fair use</w:t>
      </w:r>
      <w:r w:rsidR="00DC641A">
        <w:rPr>
          <w:rFonts w:ascii="Times New Roman" w:hAnsi="Times New Roman" w:cs="Times New Roman"/>
        </w:rPr>
        <w:t>’</w:t>
      </w:r>
      <w:r w:rsidR="00146A08" w:rsidRPr="00146A08">
        <w:rPr>
          <w:rFonts w:ascii="Times New Roman" w:hAnsi="Times New Roman" w:cs="Times New Roman"/>
        </w:rPr>
        <w:t xml:space="preserve"> of a</w:t>
      </w:r>
      <w:r w:rsidR="00DC641A">
        <w:rPr>
          <w:rFonts w:ascii="Times New Roman" w:hAnsi="Times New Roman" w:cs="Times New Roman"/>
        </w:rPr>
        <w:t xml:space="preserve"> </w:t>
      </w:r>
      <w:r w:rsidR="00146A08" w:rsidRPr="00146A08">
        <w:rPr>
          <w:rFonts w:ascii="Times New Roman" w:hAnsi="Times New Roman" w:cs="Times New Roman"/>
        </w:rPr>
        <w:t>copyrighted work.</w:t>
      </w:r>
      <w:r w:rsidR="00DC641A">
        <w:rPr>
          <w:rFonts w:ascii="Times New Roman" w:hAnsi="Times New Roman" w:cs="Times New Roman"/>
        </w:rPr>
        <w:t>”</w:t>
      </w:r>
      <w:r w:rsidR="00DC641A">
        <w:rPr>
          <w:rStyle w:val="FootnoteReference"/>
          <w:rFonts w:ascii="Times New Roman" w:hAnsi="Times New Roman" w:cs="Times New Roman"/>
        </w:rPr>
        <w:footnoteReference w:id="273"/>
      </w:r>
    </w:p>
    <w:p w14:paraId="162B6C76" w14:textId="3CB5FCEB" w:rsidR="00146A08" w:rsidRDefault="000C20B7" w:rsidP="00146A08">
      <w:pPr>
        <w:rPr>
          <w:rFonts w:ascii="Times New Roman" w:hAnsi="Times New Roman" w:cs="Times New Roman"/>
        </w:rPr>
      </w:pPr>
      <w:r>
        <w:rPr>
          <w:rFonts w:ascii="Times New Roman" w:hAnsi="Times New Roman" w:cs="Times New Roman"/>
        </w:rPr>
        <w:t xml:space="preserve">Two recent generative AI cases have followed down this path: in </w:t>
      </w:r>
      <w:r w:rsidRPr="00D6400C">
        <w:rPr>
          <w:rFonts w:ascii="Times New Roman" w:hAnsi="Times New Roman" w:cs="Times New Roman"/>
          <w:i/>
        </w:rPr>
        <w:t>Bartz v. Anthropic</w:t>
      </w:r>
      <w:r w:rsidR="00D6400C">
        <w:rPr>
          <w:rFonts w:ascii="Times New Roman" w:hAnsi="Times New Roman" w:cs="Times New Roman"/>
          <w:i/>
        </w:rPr>
        <w:t xml:space="preserve"> PBC,</w:t>
      </w:r>
      <w:r w:rsidR="00D6400C">
        <w:rPr>
          <w:rStyle w:val="FootnoteReference"/>
          <w:rFonts w:ascii="Times New Roman" w:hAnsi="Times New Roman" w:cs="Times New Roman"/>
          <w:i/>
        </w:rPr>
        <w:footnoteReference w:id="274"/>
      </w:r>
      <w:r>
        <w:rPr>
          <w:rFonts w:ascii="Times New Roman" w:hAnsi="Times New Roman" w:cs="Times New Roman"/>
        </w:rPr>
        <w:t xml:space="preserve"> the Northern District of California</w:t>
      </w:r>
      <w:r w:rsidR="00D6400C">
        <w:rPr>
          <w:rFonts w:ascii="Times New Roman" w:hAnsi="Times New Roman" w:cs="Times New Roman"/>
        </w:rPr>
        <w:t xml:space="preserve"> granted a motion for summary judgment for defendant on the issue of fair use, holding that defendant’s use of the books it purchased to train its AI model, Claude, was “exceedingly transformative” and a fair use;</w:t>
      </w:r>
      <w:r w:rsidR="00D6400C">
        <w:rPr>
          <w:rStyle w:val="FootnoteReference"/>
          <w:rFonts w:ascii="Times New Roman" w:hAnsi="Times New Roman" w:cs="Times New Roman"/>
        </w:rPr>
        <w:footnoteReference w:id="275"/>
      </w:r>
      <w:r w:rsidR="00D6400C">
        <w:rPr>
          <w:rFonts w:ascii="Times New Roman" w:hAnsi="Times New Roman" w:cs="Times New Roman"/>
        </w:rPr>
        <w:t xml:space="preserve"> </w:t>
      </w:r>
      <w:r w:rsidR="0045632D">
        <w:rPr>
          <w:rFonts w:ascii="Times New Roman" w:hAnsi="Times New Roman" w:cs="Times New Roman"/>
        </w:rPr>
        <w:t xml:space="preserve">and </w:t>
      </w:r>
      <w:r w:rsidR="00D6400C">
        <w:rPr>
          <w:rFonts w:ascii="Times New Roman" w:hAnsi="Times New Roman" w:cs="Times New Roman"/>
        </w:rPr>
        <w:t xml:space="preserve">for similar reasons, in </w:t>
      </w:r>
      <w:r w:rsidR="00D6400C" w:rsidRPr="00BB5AF9">
        <w:rPr>
          <w:rFonts w:ascii="Times New Roman" w:hAnsi="Times New Roman" w:cs="Times New Roman"/>
          <w:i/>
        </w:rPr>
        <w:t xml:space="preserve">Kadrey v. </w:t>
      </w:r>
      <w:r w:rsidR="00D6400C" w:rsidRPr="00BB5AF9">
        <w:rPr>
          <w:rFonts w:ascii="Times New Roman" w:hAnsi="Times New Roman" w:cs="Times New Roman"/>
          <w:i/>
        </w:rPr>
        <w:lastRenderedPageBreak/>
        <w:t>Meta Platforms, Inc</w:t>
      </w:r>
      <w:r w:rsidR="00BB5AF9" w:rsidRPr="00BB5AF9">
        <w:rPr>
          <w:rFonts w:ascii="Times New Roman" w:hAnsi="Times New Roman" w:cs="Times New Roman"/>
          <w:i/>
        </w:rPr>
        <w:t>.</w:t>
      </w:r>
      <w:r w:rsidR="00BB5AF9">
        <w:rPr>
          <w:rFonts w:ascii="Times New Roman" w:hAnsi="Times New Roman" w:cs="Times New Roman"/>
        </w:rPr>
        <w:t>,</w:t>
      </w:r>
      <w:r w:rsidR="009370B8">
        <w:rPr>
          <w:rStyle w:val="FootnoteReference"/>
          <w:rFonts w:ascii="Times New Roman" w:hAnsi="Times New Roman" w:cs="Times New Roman"/>
        </w:rPr>
        <w:footnoteReference w:id="276"/>
      </w:r>
      <w:r w:rsidR="00BB5AF9">
        <w:rPr>
          <w:rFonts w:ascii="Times New Roman" w:hAnsi="Times New Roman" w:cs="Times New Roman"/>
        </w:rPr>
        <w:t xml:space="preserve"> in a case where Meta had downloaded copies of plaintiff’s books from “shadow libraries” on the Internet without paying for the copies to train its AI model, Llama, the same court, seemingly reluctantly, granted defendant’s summary judgment on the issue of fair use for training purposes: “[g]iven the state of the record, the Court has no choice but to grant summary judgment to Meta on the plaintiffs’ claim that the company violated copyright law by training its model with their books.”</w:t>
      </w:r>
      <w:r w:rsidR="00BB5AF9">
        <w:rPr>
          <w:rStyle w:val="FootnoteReference"/>
          <w:rFonts w:ascii="Times New Roman" w:hAnsi="Times New Roman" w:cs="Times New Roman"/>
        </w:rPr>
        <w:footnoteReference w:id="277"/>
      </w:r>
    </w:p>
    <w:p w14:paraId="01EB1A00" w14:textId="26152369" w:rsidR="00146A08" w:rsidRDefault="002E6D67" w:rsidP="00146A08">
      <w:pPr>
        <w:rPr>
          <w:rFonts w:ascii="Times New Roman" w:hAnsi="Times New Roman" w:cs="Times New Roman"/>
        </w:rPr>
      </w:pPr>
      <w:r>
        <w:rPr>
          <w:rFonts w:ascii="Times New Roman" w:hAnsi="Times New Roman" w:cs="Times New Roman"/>
        </w:rPr>
        <w:t xml:space="preserve">The only case that has bucked this trend, is </w:t>
      </w:r>
      <w:r w:rsidRPr="002E6D67">
        <w:rPr>
          <w:rFonts w:ascii="Times New Roman" w:hAnsi="Times New Roman" w:cs="Times New Roman"/>
          <w:i/>
        </w:rPr>
        <w:t>Thomson Reuters v. Ross</w:t>
      </w:r>
      <w:r>
        <w:rPr>
          <w:rFonts w:ascii="Times New Roman" w:hAnsi="Times New Roman" w:cs="Times New Roman"/>
        </w:rPr>
        <w:t>,</w:t>
      </w:r>
      <w:r>
        <w:rPr>
          <w:rStyle w:val="FootnoteReference"/>
          <w:rFonts w:ascii="Times New Roman" w:hAnsi="Times New Roman" w:cs="Times New Roman"/>
        </w:rPr>
        <w:footnoteReference w:id="278"/>
      </w:r>
      <w:r>
        <w:rPr>
          <w:rFonts w:ascii="Times New Roman" w:hAnsi="Times New Roman" w:cs="Times New Roman"/>
        </w:rPr>
        <w:t xml:space="preserve"> a pre-generative AI case, but one that did involve AI. Relying on </w:t>
      </w:r>
      <w:r w:rsidRPr="002E6D67">
        <w:rPr>
          <w:rFonts w:ascii="Times New Roman" w:hAnsi="Times New Roman" w:cs="Times New Roman"/>
          <w:i/>
        </w:rPr>
        <w:t>Warhol’s</w:t>
      </w:r>
      <w:r>
        <w:rPr>
          <w:rFonts w:ascii="Times New Roman" w:hAnsi="Times New Roman" w:cs="Times New Roman"/>
        </w:rPr>
        <w:t xml:space="preserve"> interjection of factor four market effect into factor one transformative use analysis, the court granted summary judgment against fair use because defendant’s AI product was a competitor of one of plaintiff’s products.</w:t>
      </w:r>
      <w:r w:rsidR="003F2120">
        <w:rPr>
          <w:rStyle w:val="FootnoteReference"/>
          <w:rFonts w:ascii="Times New Roman" w:hAnsi="Times New Roman" w:cs="Times New Roman"/>
        </w:rPr>
        <w:footnoteReference w:id="279"/>
      </w:r>
    </w:p>
    <w:p w14:paraId="4B74F6CB" w14:textId="53F93798" w:rsidR="00146A08" w:rsidRDefault="009A7B2A" w:rsidP="00146A08">
      <w:pPr>
        <w:rPr>
          <w:rFonts w:ascii="Times New Roman" w:hAnsi="Times New Roman" w:cs="Times New Roman"/>
        </w:rPr>
      </w:pPr>
      <w:r>
        <w:rPr>
          <w:rFonts w:ascii="Times New Roman" w:hAnsi="Times New Roman" w:cs="Times New Roman"/>
        </w:rPr>
        <w:t xml:space="preserve">The most important pending case is the set of </w:t>
      </w:r>
      <w:r w:rsidR="00CB6BBA">
        <w:rPr>
          <w:rFonts w:ascii="Times New Roman" w:hAnsi="Times New Roman" w:cs="Times New Roman"/>
        </w:rPr>
        <w:t xml:space="preserve">12 consolidated cases arising from among others, the </w:t>
      </w:r>
      <w:r w:rsidR="00CB6BBA" w:rsidRPr="00CB6BBA">
        <w:rPr>
          <w:rFonts w:ascii="Times New Roman" w:hAnsi="Times New Roman" w:cs="Times New Roman"/>
          <w:i/>
        </w:rPr>
        <w:t>New York Times v. Microsoft</w:t>
      </w:r>
      <w:r w:rsidR="00CB6BBA">
        <w:rPr>
          <w:rFonts w:ascii="Times New Roman" w:hAnsi="Times New Roman" w:cs="Times New Roman"/>
        </w:rPr>
        <w:t xml:space="preserve"> case</w:t>
      </w:r>
      <w:r w:rsidR="00CF3240">
        <w:rPr>
          <w:rFonts w:ascii="Times New Roman" w:hAnsi="Times New Roman" w:cs="Times New Roman"/>
        </w:rPr>
        <w:t xml:space="preserve"> (</w:t>
      </w:r>
      <w:r w:rsidR="003B5BBB">
        <w:rPr>
          <w:rFonts w:ascii="Times New Roman" w:hAnsi="Times New Roman" w:cs="Times New Roman"/>
        </w:rPr>
        <w:t xml:space="preserve">the </w:t>
      </w:r>
      <w:r w:rsidR="00CF3240">
        <w:rPr>
          <w:rFonts w:ascii="Times New Roman" w:hAnsi="Times New Roman" w:cs="Times New Roman"/>
        </w:rPr>
        <w:t>“</w:t>
      </w:r>
      <w:r w:rsidR="00CF3240" w:rsidRPr="00CF3240">
        <w:rPr>
          <w:rFonts w:ascii="Times New Roman" w:hAnsi="Times New Roman" w:cs="Times New Roman"/>
          <w:i/>
        </w:rPr>
        <w:t>OpenAI cases</w:t>
      </w:r>
      <w:r w:rsidR="00CF3240">
        <w:rPr>
          <w:rFonts w:ascii="Times New Roman" w:hAnsi="Times New Roman" w:cs="Times New Roman"/>
        </w:rPr>
        <w:t>)</w:t>
      </w:r>
      <w:r w:rsidR="00CB6BBA">
        <w:rPr>
          <w:rFonts w:ascii="Times New Roman" w:hAnsi="Times New Roman" w:cs="Times New Roman"/>
        </w:rPr>
        <w:t>.</w:t>
      </w:r>
      <w:r w:rsidR="00CB6BBA">
        <w:rPr>
          <w:rStyle w:val="FootnoteReference"/>
          <w:rFonts w:ascii="Times New Roman" w:hAnsi="Times New Roman" w:cs="Times New Roman"/>
        </w:rPr>
        <w:footnoteReference w:id="280"/>
      </w:r>
      <w:r w:rsidR="00CE3837">
        <w:rPr>
          <w:rFonts w:ascii="Times New Roman" w:hAnsi="Times New Roman" w:cs="Times New Roman"/>
        </w:rPr>
        <w:t xml:space="preserve"> In an article </w:t>
      </w:r>
      <w:r w:rsidR="00FC1791">
        <w:rPr>
          <w:rFonts w:ascii="Times New Roman" w:hAnsi="Times New Roman" w:cs="Times New Roman"/>
        </w:rPr>
        <w:t xml:space="preserve">discussing the original </w:t>
      </w:r>
      <w:r w:rsidR="00FC1791" w:rsidRPr="00CF3240">
        <w:rPr>
          <w:rFonts w:ascii="Times New Roman" w:hAnsi="Times New Roman" w:cs="Times New Roman"/>
          <w:i/>
        </w:rPr>
        <w:t>New York Times</w:t>
      </w:r>
      <w:r w:rsidR="00FC1791">
        <w:rPr>
          <w:rFonts w:ascii="Times New Roman" w:hAnsi="Times New Roman" w:cs="Times New Roman"/>
        </w:rPr>
        <w:t xml:space="preserve"> case, Pamela Samuelson made several salient points:</w:t>
      </w:r>
    </w:p>
    <w:p w14:paraId="2C3E3A31" w14:textId="0A2CD2E4" w:rsidR="00FC1791" w:rsidRDefault="00FC1791" w:rsidP="00262307">
      <w:pPr>
        <w:ind w:left="720"/>
        <w:rPr>
          <w:rFonts w:ascii="Times New Roman" w:hAnsi="Times New Roman" w:cs="Times New Roman"/>
        </w:rPr>
      </w:pPr>
      <w:r>
        <w:rPr>
          <w:rFonts w:ascii="Times New Roman" w:hAnsi="Times New Roman" w:cs="Times New Roman"/>
        </w:rPr>
        <w:t xml:space="preserve">1. “All of the generative AI defendants are likely to invoke several defendant-friendly statements from the Supreme Court’s </w:t>
      </w:r>
      <w:r w:rsidRPr="00FC1791">
        <w:rPr>
          <w:rFonts w:ascii="Times New Roman" w:hAnsi="Times New Roman" w:cs="Times New Roman"/>
          <w:i/>
        </w:rPr>
        <w:t>Google v. Oracle</w:t>
      </w:r>
      <w:r>
        <w:rPr>
          <w:rFonts w:ascii="Times New Roman" w:hAnsi="Times New Roman" w:cs="Times New Roman"/>
        </w:rPr>
        <w:t xml:space="preserve"> decision;”</w:t>
      </w:r>
      <w:r w:rsidR="00262307">
        <w:rPr>
          <w:rStyle w:val="FootnoteReference"/>
          <w:rFonts w:ascii="Times New Roman" w:hAnsi="Times New Roman" w:cs="Times New Roman"/>
        </w:rPr>
        <w:footnoteReference w:id="281"/>
      </w:r>
      <w:r>
        <w:rPr>
          <w:rFonts w:ascii="Times New Roman" w:hAnsi="Times New Roman" w:cs="Times New Roman"/>
        </w:rPr>
        <w:br/>
      </w:r>
      <w:r w:rsidR="00E8538E">
        <w:rPr>
          <w:rFonts w:ascii="Times New Roman" w:hAnsi="Times New Roman" w:cs="Times New Roman"/>
        </w:rPr>
        <w:br/>
      </w:r>
      <w:r>
        <w:rPr>
          <w:rFonts w:ascii="Times New Roman" w:hAnsi="Times New Roman" w:cs="Times New Roman"/>
        </w:rPr>
        <w:t xml:space="preserve">2. </w:t>
      </w:r>
      <w:r w:rsidR="0088214C">
        <w:rPr>
          <w:rFonts w:ascii="Times New Roman" w:hAnsi="Times New Roman" w:cs="Times New Roman"/>
        </w:rPr>
        <w:t>“In discussing</w:t>
      </w:r>
      <w:r>
        <w:rPr>
          <w:rFonts w:ascii="Times New Roman" w:hAnsi="Times New Roman" w:cs="Times New Roman"/>
        </w:rPr>
        <w:t xml:space="preserve"> market effects, </w:t>
      </w:r>
      <w:r w:rsidRPr="0088214C">
        <w:rPr>
          <w:rFonts w:ascii="Times New Roman" w:hAnsi="Times New Roman" w:cs="Times New Roman"/>
          <w:i/>
        </w:rPr>
        <w:t>Google</w:t>
      </w:r>
      <w:r>
        <w:rPr>
          <w:rFonts w:ascii="Times New Roman" w:hAnsi="Times New Roman" w:cs="Times New Roman"/>
        </w:rPr>
        <w:t xml:space="preserve"> emphasized that courts should consider public benefits that may arise from challenged uses and balance them along with any lost revenue the plaintiffs may claim</w:t>
      </w:r>
      <w:r w:rsidR="00262307">
        <w:rPr>
          <w:rFonts w:ascii="Times New Roman" w:hAnsi="Times New Roman" w:cs="Times New Roman"/>
        </w:rPr>
        <w:t>,</w:t>
      </w:r>
      <w:r>
        <w:rPr>
          <w:rFonts w:ascii="Times New Roman" w:hAnsi="Times New Roman" w:cs="Times New Roman"/>
        </w:rPr>
        <w:t>”</w:t>
      </w:r>
      <w:r w:rsidR="0088214C">
        <w:rPr>
          <w:rStyle w:val="FootnoteReference"/>
          <w:rFonts w:ascii="Times New Roman" w:hAnsi="Times New Roman" w:cs="Times New Roman"/>
        </w:rPr>
        <w:footnoteReference w:id="282"/>
      </w:r>
      <w:r w:rsidR="00262307">
        <w:rPr>
          <w:rFonts w:ascii="Times New Roman" w:hAnsi="Times New Roman" w:cs="Times New Roman"/>
        </w:rPr>
        <w:t xml:space="preserve"> and </w:t>
      </w:r>
      <w:r w:rsidR="0088214C">
        <w:rPr>
          <w:rFonts w:ascii="Times New Roman" w:hAnsi="Times New Roman" w:cs="Times New Roman"/>
        </w:rPr>
        <w:t>“I</w:t>
      </w:r>
      <w:r w:rsidR="00262307">
        <w:rPr>
          <w:rFonts w:ascii="Times New Roman" w:hAnsi="Times New Roman" w:cs="Times New Roman"/>
        </w:rPr>
        <w:t xml:space="preserve">t </w:t>
      </w:r>
      <w:r w:rsidR="00262307" w:rsidRPr="00262307">
        <w:rPr>
          <w:rFonts w:ascii="Times New Roman" w:hAnsi="Times New Roman" w:cs="Times New Roman"/>
        </w:rPr>
        <w:t>remains to be seen what weight courts in the generative AI cases will give to public benefits enabled by unlicensed copying</w:t>
      </w:r>
      <w:r w:rsidR="00262307">
        <w:rPr>
          <w:rFonts w:ascii="Times New Roman" w:hAnsi="Times New Roman" w:cs="Times New Roman"/>
        </w:rPr>
        <w:t xml:space="preserve"> </w:t>
      </w:r>
      <w:r w:rsidR="00262307" w:rsidRPr="00262307">
        <w:rPr>
          <w:rFonts w:ascii="Times New Roman" w:hAnsi="Times New Roman" w:cs="Times New Roman"/>
        </w:rPr>
        <w:t>for training data purposes when assessing market effects</w:t>
      </w:r>
      <w:r w:rsidR="00262307">
        <w:rPr>
          <w:rFonts w:ascii="Times New Roman" w:hAnsi="Times New Roman" w:cs="Times New Roman"/>
        </w:rPr>
        <w:t>:”</w:t>
      </w:r>
      <w:r w:rsidR="0088214C">
        <w:rPr>
          <w:rStyle w:val="FootnoteReference"/>
          <w:rFonts w:ascii="Times New Roman" w:hAnsi="Times New Roman" w:cs="Times New Roman"/>
        </w:rPr>
        <w:footnoteReference w:id="283"/>
      </w:r>
      <w:r>
        <w:rPr>
          <w:rFonts w:ascii="Times New Roman" w:hAnsi="Times New Roman" w:cs="Times New Roman"/>
        </w:rPr>
        <w:br/>
      </w:r>
      <w:r w:rsidR="00E8538E">
        <w:rPr>
          <w:rFonts w:ascii="Times New Roman" w:hAnsi="Times New Roman" w:cs="Times New Roman"/>
        </w:rPr>
        <w:br/>
      </w:r>
      <w:r>
        <w:rPr>
          <w:rFonts w:ascii="Times New Roman" w:hAnsi="Times New Roman" w:cs="Times New Roman"/>
        </w:rPr>
        <w:t>3. “</w:t>
      </w:r>
      <w:r w:rsidRPr="00FC1791">
        <w:rPr>
          <w:rFonts w:ascii="Times New Roman" w:hAnsi="Times New Roman" w:cs="Times New Roman"/>
        </w:rPr>
        <w:t>The generative AI defendants will almost certainly draw upon</w:t>
      </w:r>
      <w:r>
        <w:rPr>
          <w:rFonts w:ascii="Times New Roman" w:hAnsi="Times New Roman" w:cs="Times New Roman"/>
        </w:rPr>
        <w:t xml:space="preserve"> </w:t>
      </w:r>
      <w:r w:rsidRPr="00FC1791">
        <w:rPr>
          <w:rFonts w:ascii="Times New Roman" w:hAnsi="Times New Roman" w:cs="Times New Roman"/>
        </w:rPr>
        <w:t xml:space="preserve">these statements in their fair use arguments, for trained models are, like the Android platform, highly creative and have </w:t>
      </w:r>
      <w:r>
        <w:rPr>
          <w:rFonts w:ascii="Times New Roman" w:hAnsi="Times New Roman" w:cs="Times New Roman"/>
        </w:rPr>
        <w:t>e</w:t>
      </w:r>
      <w:r w:rsidRPr="00FC1791">
        <w:rPr>
          <w:rFonts w:ascii="Times New Roman" w:hAnsi="Times New Roman" w:cs="Times New Roman"/>
        </w:rPr>
        <w:t>nabled</w:t>
      </w:r>
      <w:r>
        <w:rPr>
          <w:rFonts w:ascii="Times New Roman" w:hAnsi="Times New Roman" w:cs="Times New Roman"/>
        </w:rPr>
        <w:t xml:space="preserve"> </w:t>
      </w:r>
      <w:r w:rsidRPr="00FC1791">
        <w:rPr>
          <w:rFonts w:ascii="Times New Roman" w:hAnsi="Times New Roman" w:cs="Times New Roman"/>
        </w:rPr>
        <w:t>millions of people to generate desired outputs.</w:t>
      </w:r>
      <w:r>
        <w:rPr>
          <w:rFonts w:ascii="Times New Roman" w:hAnsi="Times New Roman" w:cs="Times New Roman"/>
        </w:rPr>
        <w:t>”</w:t>
      </w:r>
      <w:r w:rsidR="0088214C">
        <w:rPr>
          <w:rStyle w:val="FootnoteReference"/>
          <w:rFonts w:ascii="Times New Roman" w:hAnsi="Times New Roman" w:cs="Times New Roman"/>
        </w:rPr>
        <w:footnoteReference w:id="284"/>
      </w:r>
      <w:r>
        <w:rPr>
          <w:rFonts w:ascii="Times New Roman" w:hAnsi="Times New Roman" w:cs="Times New Roman"/>
        </w:rPr>
        <w:br/>
      </w:r>
      <w:r w:rsidR="00E8538E">
        <w:rPr>
          <w:rFonts w:ascii="Times New Roman" w:hAnsi="Times New Roman" w:cs="Times New Roman"/>
        </w:rPr>
        <w:br/>
      </w:r>
      <w:r>
        <w:rPr>
          <w:rFonts w:ascii="Times New Roman" w:hAnsi="Times New Roman" w:cs="Times New Roman"/>
        </w:rPr>
        <w:t>4. “</w:t>
      </w:r>
      <w:r w:rsidRPr="00FC1791">
        <w:rPr>
          <w:rFonts w:ascii="Times New Roman" w:hAnsi="Times New Roman" w:cs="Times New Roman"/>
        </w:rPr>
        <w:t xml:space="preserve">Because courts will almost certainly take several years to definitively resolve the many </w:t>
      </w:r>
      <w:r w:rsidR="00262307">
        <w:rPr>
          <w:rFonts w:ascii="Times New Roman" w:hAnsi="Times New Roman" w:cs="Times New Roman"/>
        </w:rPr>
        <w:t>t</w:t>
      </w:r>
      <w:r w:rsidRPr="00FC1791">
        <w:rPr>
          <w:rFonts w:ascii="Times New Roman" w:hAnsi="Times New Roman" w:cs="Times New Roman"/>
        </w:rPr>
        <w:t>horny copyright issues the generative</w:t>
      </w:r>
      <w:r w:rsidR="00262307">
        <w:rPr>
          <w:rFonts w:ascii="Times New Roman" w:hAnsi="Times New Roman" w:cs="Times New Roman"/>
        </w:rPr>
        <w:t xml:space="preserve"> </w:t>
      </w:r>
      <w:r w:rsidRPr="00FC1791">
        <w:rPr>
          <w:rFonts w:ascii="Times New Roman" w:hAnsi="Times New Roman" w:cs="Times New Roman"/>
        </w:rPr>
        <w:t xml:space="preserve">AI lawsuits pose, interest has been growing in the </w:t>
      </w:r>
      <w:r w:rsidR="00262307">
        <w:rPr>
          <w:rFonts w:ascii="Times New Roman" w:hAnsi="Times New Roman" w:cs="Times New Roman"/>
        </w:rPr>
        <w:t>p</w:t>
      </w:r>
      <w:r w:rsidRPr="00FC1791">
        <w:rPr>
          <w:rFonts w:ascii="Times New Roman" w:hAnsi="Times New Roman" w:cs="Times New Roman"/>
        </w:rPr>
        <w:t>ossibility of a collective licensing regime for AI training data.</w:t>
      </w:r>
      <w:r w:rsidR="00262307">
        <w:rPr>
          <w:rFonts w:ascii="Times New Roman" w:hAnsi="Times New Roman" w:cs="Times New Roman"/>
        </w:rPr>
        <w:t>”</w:t>
      </w:r>
      <w:r w:rsidR="0088214C">
        <w:rPr>
          <w:rStyle w:val="FootnoteReference"/>
          <w:rFonts w:ascii="Times New Roman" w:hAnsi="Times New Roman" w:cs="Times New Roman"/>
        </w:rPr>
        <w:footnoteReference w:id="285"/>
      </w:r>
      <w:r w:rsidR="00262307">
        <w:rPr>
          <w:rFonts w:ascii="Times New Roman" w:hAnsi="Times New Roman" w:cs="Times New Roman"/>
        </w:rPr>
        <w:br/>
      </w:r>
      <w:r w:rsidR="00E8538E">
        <w:rPr>
          <w:rFonts w:ascii="Times New Roman" w:hAnsi="Times New Roman" w:cs="Times New Roman"/>
        </w:rPr>
        <w:lastRenderedPageBreak/>
        <w:br/>
      </w:r>
      <w:r w:rsidR="00262307">
        <w:rPr>
          <w:rFonts w:ascii="Times New Roman" w:hAnsi="Times New Roman" w:cs="Times New Roman"/>
        </w:rPr>
        <w:t>5. “</w:t>
      </w:r>
      <w:r w:rsidR="00262307" w:rsidRPr="00262307">
        <w:rPr>
          <w:rFonts w:ascii="Times New Roman" w:hAnsi="Times New Roman" w:cs="Times New Roman"/>
        </w:rPr>
        <w:t>Courts have no choice but to predict what outcome in the generative AI cases will</w:t>
      </w:r>
      <w:r w:rsidR="00262307">
        <w:rPr>
          <w:rFonts w:ascii="Times New Roman" w:hAnsi="Times New Roman" w:cs="Times New Roman"/>
        </w:rPr>
        <w:t xml:space="preserve"> </w:t>
      </w:r>
      <w:r w:rsidR="00262307" w:rsidRPr="00262307">
        <w:rPr>
          <w:rFonts w:ascii="Times New Roman" w:hAnsi="Times New Roman" w:cs="Times New Roman"/>
        </w:rPr>
        <w:t>best promote the constitutional purposes of</w:t>
      </w:r>
      <w:r w:rsidR="00262307">
        <w:rPr>
          <w:rFonts w:ascii="Times New Roman" w:hAnsi="Times New Roman" w:cs="Times New Roman"/>
        </w:rPr>
        <w:t xml:space="preserve"> </w:t>
      </w:r>
      <w:r w:rsidR="00262307" w:rsidRPr="00262307">
        <w:rPr>
          <w:rFonts w:ascii="Times New Roman" w:hAnsi="Times New Roman" w:cs="Times New Roman"/>
        </w:rPr>
        <w:t>copyright. On the answer to that question may well hang the future of generative AI.</w:t>
      </w:r>
      <w:r w:rsidR="00262307">
        <w:rPr>
          <w:rFonts w:ascii="Times New Roman" w:hAnsi="Times New Roman" w:cs="Times New Roman"/>
        </w:rPr>
        <w:t>”</w:t>
      </w:r>
      <w:r w:rsidR="0088214C">
        <w:rPr>
          <w:rStyle w:val="FootnoteReference"/>
          <w:rFonts w:ascii="Times New Roman" w:hAnsi="Times New Roman" w:cs="Times New Roman"/>
        </w:rPr>
        <w:footnoteReference w:id="286"/>
      </w:r>
    </w:p>
    <w:p w14:paraId="56697055" w14:textId="4E66DE6F" w:rsidR="00B52E42" w:rsidRDefault="002E7D90" w:rsidP="00146A08">
      <w:pPr>
        <w:rPr>
          <w:rFonts w:ascii="Times New Roman" w:hAnsi="Times New Roman" w:cs="Times New Roman"/>
        </w:rPr>
      </w:pPr>
      <w:r>
        <w:rPr>
          <w:rFonts w:ascii="Times New Roman" w:hAnsi="Times New Roman" w:cs="Times New Roman"/>
        </w:rPr>
        <w:t xml:space="preserve">All of these </w:t>
      </w:r>
      <w:r w:rsidR="008D4323">
        <w:rPr>
          <w:rFonts w:ascii="Times New Roman" w:hAnsi="Times New Roman" w:cs="Times New Roman"/>
        </w:rPr>
        <w:t xml:space="preserve">statements and observations </w:t>
      </w:r>
      <w:r>
        <w:rPr>
          <w:rFonts w:ascii="Times New Roman" w:hAnsi="Times New Roman" w:cs="Times New Roman"/>
        </w:rPr>
        <w:t>are extremely important for the resolution of the training issue.</w:t>
      </w:r>
      <w:r w:rsidR="003B5BBB">
        <w:rPr>
          <w:rFonts w:ascii="Times New Roman" w:hAnsi="Times New Roman" w:cs="Times New Roman"/>
        </w:rPr>
        <w:t xml:space="preserve"> With regard to the </w:t>
      </w:r>
      <w:r w:rsidR="003B5BBB" w:rsidRPr="00B52E42">
        <w:rPr>
          <w:rFonts w:ascii="Times New Roman" w:hAnsi="Times New Roman" w:cs="Times New Roman"/>
          <w:i/>
        </w:rPr>
        <w:t>OpenAI cases</w:t>
      </w:r>
      <w:r w:rsidR="003B5BBB">
        <w:rPr>
          <w:rFonts w:ascii="Times New Roman" w:hAnsi="Times New Roman" w:cs="Times New Roman"/>
        </w:rPr>
        <w:t xml:space="preserve">, obviously, the bulk of the decision will come from the fair use analysis of factors one and four. While both factors are independently important, </w:t>
      </w:r>
      <w:r w:rsidR="003B5BBB" w:rsidRPr="003B5BBB">
        <w:rPr>
          <w:rFonts w:ascii="Times New Roman" w:hAnsi="Times New Roman" w:cs="Times New Roman"/>
          <w:i/>
        </w:rPr>
        <w:t>Warhol</w:t>
      </w:r>
      <w:r w:rsidR="003B5BBB">
        <w:rPr>
          <w:rFonts w:ascii="Times New Roman" w:hAnsi="Times New Roman" w:cs="Times New Roman"/>
        </w:rPr>
        <w:t xml:space="preserve"> </w:t>
      </w:r>
      <w:r w:rsidR="003654F8">
        <w:rPr>
          <w:rFonts w:ascii="Times New Roman" w:hAnsi="Times New Roman" w:cs="Times New Roman"/>
        </w:rPr>
        <w:t>ti</w:t>
      </w:r>
      <w:r w:rsidR="003B5BBB">
        <w:rPr>
          <w:rFonts w:ascii="Times New Roman" w:hAnsi="Times New Roman" w:cs="Times New Roman"/>
        </w:rPr>
        <w:t xml:space="preserve">ed them together to some extent. It will be interesting to see how the </w:t>
      </w:r>
      <w:r w:rsidR="003B5BBB" w:rsidRPr="00B52E42">
        <w:rPr>
          <w:rFonts w:ascii="Times New Roman" w:hAnsi="Times New Roman" w:cs="Times New Roman"/>
          <w:i/>
        </w:rPr>
        <w:t xml:space="preserve">OpenAI </w:t>
      </w:r>
      <w:r w:rsidR="00B52E42" w:rsidRPr="00B52E42">
        <w:rPr>
          <w:rFonts w:ascii="Times New Roman" w:hAnsi="Times New Roman" w:cs="Times New Roman"/>
          <w:i/>
        </w:rPr>
        <w:t>cases</w:t>
      </w:r>
      <w:r w:rsidR="00B52E42">
        <w:rPr>
          <w:rFonts w:ascii="Times New Roman" w:hAnsi="Times New Roman" w:cs="Times New Roman"/>
        </w:rPr>
        <w:t xml:space="preserve"> </w:t>
      </w:r>
      <w:r w:rsidR="003B5BBB">
        <w:rPr>
          <w:rFonts w:ascii="Times New Roman" w:hAnsi="Times New Roman" w:cs="Times New Roman"/>
        </w:rPr>
        <w:t xml:space="preserve">court deals with it. The only real strong argument in those cases that is bolstered by </w:t>
      </w:r>
      <w:r w:rsidR="003B5BBB" w:rsidRPr="003B5BBB">
        <w:rPr>
          <w:rFonts w:ascii="Times New Roman" w:hAnsi="Times New Roman" w:cs="Times New Roman"/>
          <w:i/>
        </w:rPr>
        <w:t>Warhol</w:t>
      </w:r>
      <w:r w:rsidR="003B5BBB">
        <w:rPr>
          <w:rFonts w:ascii="Times New Roman" w:hAnsi="Times New Roman" w:cs="Times New Roman"/>
        </w:rPr>
        <w:t>, is the one made by several of the plaintiffs that their market for news, for example, is diminished by output of AI that copies or even just serves as a satisfactory substitute. That is not an issue for many of the plaintiffs.</w:t>
      </w:r>
      <w:r w:rsidR="00B52E42">
        <w:rPr>
          <w:rFonts w:ascii="Times New Roman" w:hAnsi="Times New Roman" w:cs="Times New Roman"/>
        </w:rPr>
        <w:t xml:space="preserve"> A. Feder Cooper and James Grimmelmann point out that the New York Times did a good job of capturing this point in its complaint: “whenever a model has memorized a training work</w:t>
      </w:r>
      <w:r w:rsidR="00B52E42" w:rsidRPr="00B52E42">
        <w:rPr>
          <w:rFonts w:ascii="Times New Roman" w:hAnsi="Times New Roman" w:cs="Times New Roman"/>
          <w:i/>
        </w:rPr>
        <w:t>, it has copied that training work</w:t>
      </w:r>
      <w:r w:rsidR="00B52E42">
        <w:rPr>
          <w:rFonts w:ascii="Times New Roman" w:hAnsi="Times New Roman" w:cs="Times New Roman"/>
        </w:rPr>
        <w:t>.”</w:t>
      </w:r>
      <w:r w:rsidR="001D3A08">
        <w:rPr>
          <w:rStyle w:val="FootnoteReference"/>
          <w:rFonts w:ascii="Times New Roman" w:hAnsi="Times New Roman" w:cs="Times New Roman"/>
        </w:rPr>
        <w:footnoteReference w:id="287"/>
      </w:r>
      <w:r w:rsidR="00B52E42">
        <w:rPr>
          <w:rFonts w:ascii="Times New Roman" w:hAnsi="Times New Roman" w:cs="Times New Roman"/>
        </w:rPr>
        <w:t xml:space="preserve"> </w:t>
      </w:r>
      <w:r w:rsidR="003654F8">
        <w:rPr>
          <w:rFonts w:ascii="Times New Roman" w:hAnsi="Times New Roman" w:cs="Times New Roman"/>
        </w:rPr>
        <w:t xml:space="preserve">While this certainly has relevance to the balancing of both factors one and four, it will likely not be dispositive; it </w:t>
      </w:r>
      <w:r w:rsidR="00B52E42">
        <w:rPr>
          <w:rFonts w:ascii="Times New Roman" w:hAnsi="Times New Roman" w:cs="Times New Roman"/>
        </w:rPr>
        <w:t xml:space="preserve">may be </w:t>
      </w:r>
      <w:r w:rsidR="003654F8">
        <w:rPr>
          <w:rFonts w:ascii="Times New Roman" w:hAnsi="Times New Roman" w:cs="Times New Roman"/>
        </w:rPr>
        <w:t>more relevant</w:t>
      </w:r>
      <w:r w:rsidR="00B52E42">
        <w:rPr>
          <w:rFonts w:ascii="Times New Roman" w:hAnsi="Times New Roman" w:cs="Times New Roman"/>
        </w:rPr>
        <w:t xml:space="preserve"> with regard to the copyright issues pertaining to output (see next section)</w:t>
      </w:r>
      <w:r w:rsidR="003654F8">
        <w:rPr>
          <w:rFonts w:ascii="Times New Roman" w:hAnsi="Times New Roman" w:cs="Times New Roman"/>
        </w:rPr>
        <w:t>.</w:t>
      </w:r>
    </w:p>
    <w:p w14:paraId="204139A2" w14:textId="65098E05" w:rsidR="002E7D90" w:rsidRDefault="002E7D90" w:rsidP="00CC5A75">
      <w:pPr>
        <w:rPr>
          <w:rFonts w:ascii="Times New Roman" w:hAnsi="Times New Roman" w:cs="Times New Roman"/>
        </w:rPr>
      </w:pPr>
      <w:r>
        <w:rPr>
          <w:rFonts w:ascii="Times New Roman" w:hAnsi="Times New Roman" w:cs="Times New Roman"/>
        </w:rPr>
        <w:t xml:space="preserve">Matthew Sag writes about public benefits and fair use, noting that </w:t>
      </w:r>
      <w:r w:rsidR="00CC5A75">
        <w:rPr>
          <w:rFonts w:ascii="Times New Roman" w:hAnsi="Times New Roman" w:cs="Times New Roman"/>
        </w:rPr>
        <w:t>i</w:t>
      </w:r>
      <w:r>
        <w:rPr>
          <w:rFonts w:ascii="Times New Roman" w:hAnsi="Times New Roman" w:cs="Times New Roman"/>
        </w:rPr>
        <w:t xml:space="preserve">n </w:t>
      </w:r>
      <w:r w:rsidRPr="00CC5A75">
        <w:rPr>
          <w:rFonts w:ascii="Times New Roman" w:hAnsi="Times New Roman" w:cs="Times New Roman"/>
          <w:i/>
        </w:rPr>
        <w:t>Google v. Oracle</w:t>
      </w:r>
      <w:r>
        <w:rPr>
          <w:rFonts w:ascii="Times New Roman" w:hAnsi="Times New Roman" w:cs="Times New Roman"/>
        </w:rPr>
        <w:t>, Justice Breyer “took a broad view of the fourth fair use factor and held that courts must consider ‘the public benefits the [defendant’s] copying will likely produce,’ not just the harms.”</w:t>
      </w:r>
      <w:r>
        <w:rPr>
          <w:rStyle w:val="FootnoteReference"/>
          <w:rFonts w:ascii="Times New Roman" w:hAnsi="Times New Roman" w:cs="Times New Roman"/>
        </w:rPr>
        <w:footnoteReference w:id="288"/>
      </w:r>
      <w:r w:rsidR="008D4323">
        <w:rPr>
          <w:rFonts w:ascii="Times New Roman" w:hAnsi="Times New Roman" w:cs="Times New Roman"/>
        </w:rPr>
        <w:t xml:space="preserve"> </w:t>
      </w:r>
      <w:r w:rsidR="00921781">
        <w:rPr>
          <w:rFonts w:ascii="Times New Roman" w:hAnsi="Times New Roman" w:cs="Times New Roman"/>
        </w:rPr>
        <w:t xml:space="preserve">As discussed earlier, </w:t>
      </w:r>
      <w:r w:rsidR="008D4323">
        <w:rPr>
          <w:rFonts w:ascii="Times New Roman" w:hAnsi="Times New Roman" w:cs="Times New Roman"/>
        </w:rPr>
        <w:t xml:space="preserve">Sag has also written a great deal about copyright safety for generative AI, </w:t>
      </w:r>
      <w:r w:rsidR="008762AB">
        <w:rPr>
          <w:rFonts w:ascii="Times New Roman" w:hAnsi="Times New Roman" w:cs="Times New Roman"/>
        </w:rPr>
        <w:t>discussing how important it is that training be deployed in a manner that “</w:t>
      </w:r>
      <w:r w:rsidR="008D4323" w:rsidRPr="008D4323">
        <w:rPr>
          <w:rFonts w:ascii="Times New Roman" w:hAnsi="Times New Roman" w:cs="Times New Roman"/>
        </w:rPr>
        <w:t>respects the rights of original authors and artists,</w:t>
      </w:r>
      <w:r w:rsidR="008762AB">
        <w:rPr>
          <w:rFonts w:ascii="Times New Roman" w:hAnsi="Times New Roman" w:cs="Times New Roman"/>
        </w:rPr>
        <w:t>” and that models should be trained to “</w:t>
      </w:r>
      <w:r w:rsidR="008D4323" w:rsidRPr="008D4323">
        <w:rPr>
          <w:rFonts w:ascii="Times New Roman" w:hAnsi="Times New Roman" w:cs="Times New Roman"/>
        </w:rPr>
        <w:t>learn abstract and uncopyrightable latent features</w:t>
      </w:r>
      <w:r w:rsidR="008D4323">
        <w:rPr>
          <w:rFonts w:ascii="Times New Roman" w:hAnsi="Times New Roman" w:cs="Times New Roman"/>
        </w:rPr>
        <w:t xml:space="preserve"> </w:t>
      </w:r>
      <w:r w:rsidR="008D4323" w:rsidRPr="008D4323">
        <w:rPr>
          <w:rFonts w:ascii="Times New Roman" w:hAnsi="Times New Roman" w:cs="Times New Roman"/>
        </w:rPr>
        <w:t>of the training data and that do not simply memorize a compressed version</w:t>
      </w:r>
      <w:r w:rsidR="008762AB">
        <w:rPr>
          <w:rFonts w:ascii="Times New Roman" w:hAnsi="Times New Roman" w:cs="Times New Roman"/>
        </w:rPr>
        <w:t>.”</w:t>
      </w:r>
      <w:r w:rsidR="008D4323">
        <w:rPr>
          <w:rStyle w:val="FootnoteReference"/>
          <w:rFonts w:ascii="Times New Roman" w:hAnsi="Times New Roman" w:cs="Times New Roman"/>
        </w:rPr>
        <w:footnoteReference w:id="289"/>
      </w:r>
      <w:r w:rsidR="008D4323">
        <w:rPr>
          <w:rFonts w:ascii="Times New Roman" w:hAnsi="Times New Roman" w:cs="Times New Roman"/>
        </w:rPr>
        <w:t xml:space="preserve"> </w:t>
      </w:r>
      <w:r w:rsidR="00CC5A75">
        <w:rPr>
          <w:rFonts w:ascii="Times New Roman" w:hAnsi="Times New Roman" w:cs="Times New Roman"/>
        </w:rPr>
        <w:t>Sag has also written about how important these features can be in a fair use analysis: in “</w:t>
      </w:r>
      <w:r w:rsidR="00CC5A75" w:rsidRPr="00CC5A75">
        <w:rPr>
          <w:rFonts w:ascii="Times New Roman" w:hAnsi="Times New Roman" w:cs="Times New Roman"/>
          <w:i/>
        </w:rPr>
        <w:t>Google Books</w:t>
      </w:r>
      <w:r w:rsidR="00CC5A75">
        <w:rPr>
          <w:rFonts w:ascii="Times New Roman" w:hAnsi="Times New Roman" w:cs="Times New Roman"/>
        </w:rPr>
        <w:t xml:space="preserve">, </w:t>
      </w:r>
      <w:r w:rsidR="00CC5A75" w:rsidRPr="00CC5A75">
        <w:rPr>
          <w:rFonts w:ascii="Times New Roman" w:hAnsi="Times New Roman" w:cs="Times New Roman"/>
        </w:rPr>
        <w:t>the defendant's fair use defense was bolstered by its robust security</w:t>
      </w:r>
      <w:r w:rsidR="00CC5A75">
        <w:rPr>
          <w:rFonts w:ascii="Times New Roman" w:hAnsi="Times New Roman" w:cs="Times New Roman"/>
        </w:rPr>
        <w:t xml:space="preserve"> </w:t>
      </w:r>
      <w:r w:rsidR="00CC5A75" w:rsidRPr="00CC5A75">
        <w:rPr>
          <w:rFonts w:ascii="Times New Roman" w:hAnsi="Times New Roman" w:cs="Times New Roman"/>
        </w:rPr>
        <w:t>measures and the various mechanisms that it had employed to prevent snippet views from being combined into anything more</w:t>
      </w:r>
      <w:r w:rsidR="00CC5A75">
        <w:rPr>
          <w:rFonts w:ascii="Times New Roman" w:hAnsi="Times New Roman" w:cs="Times New Roman"/>
        </w:rPr>
        <w:t xml:space="preserve"> </w:t>
      </w:r>
      <w:r w:rsidR="00CC5A75" w:rsidRPr="00CC5A75">
        <w:rPr>
          <w:rFonts w:ascii="Times New Roman" w:hAnsi="Times New Roman" w:cs="Times New Roman"/>
        </w:rPr>
        <w:t>substantial</w:t>
      </w:r>
      <w:r w:rsidR="00CC5A75">
        <w:rPr>
          <w:rFonts w:ascii="Times New Roman" w:hAnsi="Times New Roman" w:cs="Times New Roman"/>
        </w:rPr>
        <w:t>.”</w:t>
      </w:r>
      <w:r w:rsidR="00CC5A75">
        <w:rPr>
          <w:rStyle w:val="FootnoteReference"/>
          <w:rFonts w:ascii="Times New Roman" w:hAnsi="Times New Roman" w:cs="Times New Roman"/>
        </w:rPr>
        <w:footnoteReference w:id="290"/>
      </w:r>
    </w:p>
    <w:p w14:paraId="306E158E" w14:textId="715CBD75" w:rsidR="006374F6" w:rsidRDefault="006374F6" w:rsidP="00146A08">
      <w:pPr>
        <w:rPr>
          <w:rFonts w:ascii="Times New Roman" w:hAnsi="Times New Roman" w:cs="Times New Roman"/>
        </w:rPr>
      </w:pPr>
      <w:r>
        <w:rPr>
          <w:rFonts w:ascii="Times New Roman" w:hAnsi="Times New Roman" w:cs="Times New Roman"/>
        </w:rPr>
        <w:t>As discussed earlier</w:t>
      </w:r>
      <w:r w:rsidR="003654F8">
        <w:rPr>
          <w:rFonts w:ascii="Times New Roman" w:hAnsi="Times New Roman" w:cs="Times New Roman"/>
        </w:rPr>
        <w:t>,</w:t>
      </w:r>
      <w:r>
        <w:rPr>
          <w:rFonts w:ascii="Times New Roman" w:hAnsi="Times New Roman" w:cs="Times New Roman"/>
        </w:rPr>
        <w:t xml:space="preserve"> Mark Lemley and Bryan Casey</w:t>
      </w:r>
      <w:r w:rsidR="003654F8">
        <w:rPr>
          <w:rFonts w:ascii="Times New Roman" w:hAnsi="Times New Roman" w:cs="Times New Roman"/>
        </w:rPr>
        <w:t>’s</w:t>
      </w:r>
      <w:r>
        <w:rPr>
          <w:rFonts w:ascii="Times New Roman" w:hAnsi="Times New Roman" w:cs="Times New Roman"/>
        </w:rPr>
        <w:t xml:space="preserve"> notion of “fair learning” </w:t>
      </w:r>
      <w:r w:rsidR="003654F8">
        <w:rPr>
          <w:rFonts w:ascii="Times New Roman" w:hAnsi="Times New Roman" w:cs="Times New Roman"/>
        </w:rPr>
        <w:t>contends</w:t>
      </w:r>
      <w:r>
        <w:rPr>
          <w:rFonts w:ascii="Times New Roman" w:hAnsi="Times New Roman" w:cs="Times New Roman"/>
        </w:rPr>
        <w:t xml:space="preserve"> that most AI systems copy works “</w:t>
      </w:r>
      <w:r w:rsidRPr="006374F6">
        <w:rPr>
          <w:rFonts w:ascii="Times New Roman" w:hAnsi="Times New Roman" w:cs="Times New Roman"/>
        </w:rPr>
        <w:t>not to get access to their creative expression (the part of the work the law protects), but to get access to the uncopyrightable parts of the work--the ideas, facts, and linguistic structure of the works.</w:t>
      </w:r>
      <w:r>
        <w:rPr>
          <w:rFonts w:ascii="Times New Roman" w:hAnsi="Times New Roman" w:cs="Times New Roman"/>
        </w:rPr>
        <w:t>”</w:t>
      </w:r>
      <w:r>
        <w:rPr>
          <w:rStyle w:val="FootnoteReference"/>
          <w:rFonts w:ascii="Times New Roman" w:hAnsi="Times New Roman" w:cs="Times New Roman"/>
        </w:rPr>
        <w:footnoteReference w:id="291"/>
      </w:r>
      <w:r>
        <w:rPr>
          <w:rFonts w:ascii="Times New Roman" w:hAnsi="Times New Roman" w:cs="Times New Roman"/>
        </w:rPr>
        <w:t xml:space="preserve"> They believe that an AI system should incorporate a “fair </w:t>
      </w:r>
      <w:r>
        <w:rPr>
          <w:rFonts w:ascii="Times New Roman" w:hAnsi="Times New Roman" w:cs="Times New Roman"/>
        </w:rPr>
        <w:lastRenderedPageBreak/>
        <w:t>learning” principle: “</w:t>
      </w:r>
      <w:r w:rsidRPr="006374F6">
        <w:rPr>
          <w:rFonts w:ascii="Times New Roman" w:hAnsi="Times New Roman" w:cs="Times New Roman"/>
        </w:rPr>
        <w:t>If the purpose of the AI's use is not to obtain or incorporate the copyrightable elements of a work but to access, learn, and use the unprotectable parts of the work, that use should be presumptively fair under the first fair use factor</w:t>
      </w:r>
      <w:r>
        <w:rPr>
          <w:rFonts w:ascii="Times New Roman" w:hAnsi="Times New Roman" w:cs="Times New Roman"/>
        </w:rPr>
        <w:t>.”</w:t>
      </w:r>
      <w:r>
        <w:rPr>
          <w:rStyle w:val="FootnoteReference"/>
          <w:rFonts w:ascii="Times New Roman" w:hAnsi="Times New Roman" w:cs="Times New Roman"/>
        </w:rPr>
        <w:footnoteReference w:id="292"/>
      </w:r>
    </w:p>
    <w:p w14:paraId="6924580B" w14:textId="64C80B9B" w:rsidR="00091B19" w:rsidRDefault="00091B19" w:rsidP="00091B19">
      <w:pPr>
        <w:rPr>
          <w:rFonts w:ascii="Times New Roman" w:hAnsi="Times New Roman" w:cs="Times New Roman"/>
        </w:rPr>
      </w:pPr>
      <w:r>
        <w:rPr>
          <w:rFonts w:ascii="Times New Roman" w:hAnsi="Times New Roman" w:cs="Times New Roman"/>
        </w:rPr>
        <w:t xml:space="preserve">I think that the weight of factor one fair use analysis (and precedence to some extent) from </w:t>
      </w:r>
      <w:r w:rsidRPr="00CD7118">
        <w:rPr>
          <w:rFonts w:ascii="Times New Roman" w:hAnsi="Times New Roman" w:cs="Times New Roman"/>
          <w:i/>
        </w:rPr>
        <w:t>Campbell</w:t>
      </w:r>
      <w:r>
        <w:rPr>
          <w:rFonts w:ascii="Times New Roman" w:hAnsi="Times New Roman" w:cs="Times New Roman"/>
        </w:rPr>
        <w:t xml:space="preserve">, </w:t>
      </w:r>
      <w:r w:rsidRPr="00CD7118">
        <w:rPr>
          <w:rFonts w:ascii="Times New Roman" w:hAnsi="Times New Roman" w:cs="Times New Roman"/>
          <w:i/>
        </w:rPr>
        <w:t>HathiTrust</w:t>
      </w:r>
      <w:r>
        <w:rPr>
          <w:rFonts w:ascii="Times New Roman" w:hAnsi="Times New Roman" w:cs="Times New Roman"/>
        </w:rPr>
        <w:t xml:space="preserve">, </w:t>
      </w:r>
      <w:r w:rsidRPr="00CD7118">
        <w:rPr>
          <w:rFonts w:ascii="Times New Roman" w:hAnsi="Times New Roman" w:cs="Times New Roman"/>
          <w:i/>
        </w:rPr>
        <w:t>Google Books</w:t>
      </w:r>
      <w:r>
        <w:rPr>
          <w:rFonts w:ascii="Times New Roman" w:hAnsi="Times New Roman" w:cs="Times New Roman"/>
        </w:rPr>
        <w:t xml:space="preserve">, and </w:t>
      </w:r>
      <w:r w:rsidRPr="00CD7118">
        <w:rPr>
          <w:rFonts w:ascii="Times New Roman" w:hAnsi="Times New Roman" w:cs="Times New Roman"/>
          <w:i/>
        </w:rPr>
        <w:t>Google v. Oracle</w:t>
      </w:r>
      <w:r>
        <w:rPr>
          <w:rFonts w:ascii="Times New Roman" w:hAnsi="Times New Roman" w:cs="Times New Roman"/>
        </w:rPr>
        <w:t xml:space="preserve">, along with recent decisions like </w:t>
      </w:r>
      <w:r w:rsidRPr="00CD7118">
        <w:rPr>
          <w:rFonts w:ascii="Times New Roman" w:hAnsi="Times New Roman" w:cs="Times New Roman"/>
          <w:i/>
        </w:rPr>
        <w:t>Bartz</w:t>
      </w:r>
      <w:r>
        <w:rPr>
          <w:rFonts w:ascii="Times New Roman" w:hAnsi="Times New Roman" w:cs="Times New Roman"/>
        </w:rPr>
        <w:t xml:space="preserve"> and </w:t>
      </w:r>
      <w:r w:rsidRPr="00CD7118">
        <w:rPr>
          <w:rFonts w:ascii="Times New Roman" w:hAnsi="Times New Roman" w:cs="Times New Roman"/>
          <w:i/>
        </w:rPr>
        <w:t>Kadrey</w:t>
      </w:r>
      <w:r>
        <w:rPr>
          <w:rFonts w:ascii="Times New Roman" w:hAnsi="Times New Roman" w:cs="Times New Roman"/>
        </w:rPr>
        <w:t xml:space="preserve"> will carry the day for the defendants. They will win factor one</w:t>
      </w:r>
      <w:r w:rsidR="000C19C1">
        <w:rPr>
          <w:rFonts w:ascii="Times New Roman" w:hAnsi="Times New Roman" w:cs="Times New Roman"/>
        </w:rPr>
        <w:t xml:space="preserve"> regarding training as fair use.</w:t>
      </w:r>
    </w:p>
    <w:p w14:paraId="1F60684E" w14:textId="0DDD293E" w:rsidR="00CB6BBA" w:rsidRDefault="00091B19" w:rsidP="00146A08">
      <w:pPr>
        <w:rPr>
          <w:rFonts w:ascii="Times New Roman" w:hAnsi="Times New Roman" w:cs="Times New Roman"/>
        </w:rPr>
      </w:pPr>
      <w:r>
        <w:rPr>
          <w:rFonts w:ascii="Times New Roman" w:hAnsi="Times New Roman" w:cs="Times New Roman"/>
        </w:rPr>
        <w:t xml:space="preserve">I believe that defendants will also prevail under factor four analysis </w:t>
      </w:r>
      <w:r w:rsidR="00190A85">
        <w:rPr>
          <w:rFonts w:ascii="Times New Roman" w:hAnsi="Times New Roman" w:cs="Times New Roman"/>
        </w:rPr>
        <w:t xml:space="preserve">because of </w:t>
      </w:r>
      <w:r w:rsidR="00F37161">
        <w:rPr>
          <w:rFonts w:ascii="Times New Roman" w:hAnsi="Times New Roman" w:cs="Times New Roman"/>
        </w:rPr>
        <w:t>1) the public benefit analysis</w:t>
      </w:r>
      <w:r w:rsidR="000912BA">
        <w:rPr>
          <w:rFonts w:ascii="Times New Roman" w:hAnsi="Times New Roman" w:cs="Times New Roman"/>
        </w:rPr>
        <w:t>,</w:t>
      </w:r>
      <w:r w:rsidR="00F37161">
        <w:rPr>
          <w:rFonts w:ascii="Times New Roman" w:hAnsi="Times New Roman" w:cs="Times New Roman"/>
        </w:rPr>
        <w:t xml:space="preserve"> 2) </w:t>
      </w:r>
      <w:r>
        <w:rPr>
          <w:rFonts w:ascii="Times New Roman" w:hAnsi="Times New Roman" w:cs="Times New Roman"/>
        </w:rPr>
        <w:t xml:space="preserve">the importance of the emergence of </w:t>
      </w:r>
      <w:r w:rsidR="00190A85">
        <w:rPr>
          <w:rFonts w:ascii="Times New Roman" w:hAnsi="Times New Roman" w:cs="Times New Roman"/>
        </w:rPr>
        <w:t>guardrails that try to limit memorization, extraction, and regurgitation</w:t>
      </w:r>
      <w:r>
        <w:rPr>
          <w:rFonts w:ascii="Times New Roman" w:hAnsi="Times New Roman" w:cs="Times New Roman"/>
        </w:rPr>
        <w:t xml:space="preserve"> of training materials</w:t>
      </w:r>
      <w:r w:rsidR="000912BA">
        <w:rPr>
          <w:rFonts w:ascii="Times New Roman" w:hAnsi="Times New Roman" w:cs="Times New Roman"/>
        </w:rPr>
        <w:t>,</w:t>
      </w:r>
      <w:r w:rsidR="00190A85">
        <w:rPr>
          <w:rFonts w:ascii="Times New Roman" w:hAnsi="Times New Roman" w:cs="Times New Roman"/>
        </w:rPr>
        <w:t xml:space="preserve"> </w:t>
      </w:r>
      <w:r w:rsidR="00F37161">
        <w:rPr>
          <w:rFonts w:ascii="Times New Roman" w:hAnsi="Times New Roman" w:cs="Times New Roman"/>
        </w:rPr>
        <w:t xml:space="preserve">3) </w:t>
      </w:r>
      <w:r w:rsidR="00190A85">
        <w:rPr>
          <w:rFonts w:ascii="Times New Roman" w:hAnsi="Times New Roman" w:cs="Times New Roman"/>
        </w:rPr>
        <w:t xml:space="preserve">the </w:t>
      </w:r>
      <w:r w:rsidR="000912BA">
        <w:rPr>
          <w:rFonts w:ascii="Times New Roman" w:hAnsi="Times New Roman" w:cs="Times New Roman"/>
        </w:rPr>
        <w:t xml:space="preserve">likelihood that </w:t>
      </w:r>
      <w:r w:rsidR="00190A85">
        <w:rPr>
          <w:rFonts w:ascii="Times New Roman" w:hAnsi="Times New Roman" w:cs="Times New Roman"/>
        </w:rPr>
        <w:t xml:space="preserve">defendants will be able to show that </w:t>
      </w:r>
      <w:r w:rsidR="00F37161">
        <w:rPr>
          <w:rFonts w:ascii="Times New Roman" w:hAnsi="Times New Roman" w:cs="Times New Roman"/>
        </w:rPr>
        <w:t>“</w:t>
      </w:r>
      <w:r w:rsidR="00190A85">
        <w:rPr>
          <w:rFonts w:ascii="Times New Roman" w:hAnsi="Times New Roman" w:cs="Times New Roman"/>
        </w:rPr>
        <w:t>direct copies</w:t>
      </w:r>
      <w:r w:rsidR="00F37161">
        <w:rPr>
          <w:rFonts w:ascii="Times New Roman" w:hAnsi="Times New Roman" w:cs="Times New Roman"/>
        </w:rPr>
        <w:t xml:space="preserve">” </w:t>
      </w:r>
      <w:r>
        <w:rPr>
          <w:rFonts w:ascii="Times New Roman" w:hAnsi="Times New Roman" w:cs="Times New Roman"/>
        </w:rPr>
        <w:t>in</w:t>
      </w:r>
      <w:r w:rsidR="00F37161">
        <w:rPr>
          <w:rFonts w:ascii="Times New Roman" w:hAnsi="Times New Roman" w:cs="Times New Roman"/>
        </w:rPr>
        <w:t xml:space="preserve"> output are more aberrations or</w:t>
      </w:r>
      <w:r w:rsidR="00190A85">
        <w:rPr>
          <w:rFonts w:ascii="Times New Roman" w:hAnsi="Times New Roman" w:cs="Times New Roman"/>
        </w:rPr>
        <w:t xml:space="preserve"> “bugs,” than features of generative AI</w:t>
      </w:r>
      <w:r w:rsidR="00F37161">
        <w:rPr>
          <w:rFonts w:ascii="Times New Roman" w:hAnsi="Times New Roman" w:cs="Times New Roman"/>
        </w:rPr>
        <w:t xml:space="preserve"> (at least in the text-generating models)</w:t>
      </w:r>
      <w:r w:rsidR="000912BA">
        <w:rPr>
          <w:rFonts w:ascii="Times New Roman" w:hAnsi="Times New Roman" w:cs="Times New Roman"/>
        </w:rPr>
        <w:t>, 4) plaintiff’s general failure to show a significant detrimental market effect</w:t>
      </w:r>
      <w:r>
        <w:rPr>
          <w:rFonts w:ascii="Times New Roman" w:hAnsi="Times New Roman" w:cs="Times New Roman"/>
        </w:rPr>
        <w:t>, and 5) the tendency for law to favor innovation and “progress.”</w:t>
      </w:r>
    </w:p>
    <w:p w14:paraId="0403B30B" w14:textId="2A9A9537" w:rsidR="000912BA" w:rsidRDefault="000912BA" w:rsidP="00146A08">
      <w:pPr>
        <w:rPr>
          <w:rFonts w:ascii="Times New Roman" w:hAnsi="Times New Roman" w:cs="Times New Roman"/>
        </w:rPr>
      </w:pPr>
      <w:r>
        <w:rPr>
          <w:rFonts w:ascii="Times New Roman" w:hAnsi="Times New Roman" w:cs="Times New Roman"/>
        </w:rPr>
        <w:t xml:space="preserve">Because of the significance of the </w:t>
      </w:r>
      <w:r w:rsidRPr="000912BA">
        <w:rPr>
          <w:rFonts w:ascii="Times New Roman" w:hAnsi="Times New Roman" w:cs="Times New Roman"/>
          <w:i/>
        </w:rPr>
        <w:t>Bartz</w:t>
      </w:r>
      <w:r>
        <w:rPr>
          <w:rFonts w:ascii="Times New Roman" w:hAnsi="Times New Roman" w:cs="Times New Roman"/>
        </w:rPr>
        <w:t xml:space="preserve"> settlement regarding pirated copies, </w:t>
      </w:r>
      <w:r w:rsidR="00627A9C">
        <w:rPr>
          <w:rFonts w:ascii="Times New Roman" w:hAnsi="Times New Roman" w:cs="Times New Roman"/>
        </w:rPr>
        <w:t xml:space="preserve">the development of </w:t>
      </w:r>
      <w:r>
        <w:rPr>
          <w:rFonts w:ascii="Times New Roman" w:hAnsi="Times New Roman" w:cs="Times New Roman"/>
        </w:rPr>
        <w:t xml:space="preserve">a licensing market will </w:t>
      </w:r>
      <w:r w:rsidR="00627A9C">
        <w:rPr>
          <w:rFonts w:ascii="Times New Roman" w:hAnsi="Times New Roman" w:cs="Times New Roman"/>
        </w:rPr>
        <w:t>likely be accelerated.</w:t>
      </w:r>
      <w:r w:rsidR="000C19C1">
        <w:rPr>
          <w:rStyle w:val="FootnoteReference"/>
          <w:rFonts w:ascii="Times New Roman" w:hAnsi="Times New Roman" w:cs="Times New Roman"/>
        </w:rPr>
        <w:footnoteReference w:id="293"/>
      </w:r>
      <w:r w:rsidR="00627A9C">
        <w:rPr>
          <w:rFonts w:ascii="Times New Roman" w:hAnsi="Times New Roman" w:cs="Times New Roman"/>
        </w:rPr>
        <w:t xml:space="preserve"> </w:t>
      </w:r>
      <w:r>
        <w:rPr>
          <w:rFonts w:ascii="Times New Roman" w:hAnsi="Times New Roman" w:cs="Times New Roman"/>
        </w:rPr>
        <w:t xml:space="preserve">If there is a favorable ruling in the </w:t>
      </w:r>
      <w:r w:rsidRPr="000912BA">
        <w:rPr>
          <w:rFonts w:ascii="Times New Roman" w:hAnsi="Times New Roman" w:cs="Times New Roman"/>
          <w:i/>
        </w:rPr>
        <w:t>OpenAI cases</w:t>
      </w:r>
      <w:r>
        <w:rPr>
          <w:rFonts w:ascii="Times New Roman" w:hAnsi="Times New Roman" w:cs="Times New Roman"/>
        </w:rPr>
        <w:t xml:space="preserve">, there will </w:t>
      </w:r>
      <w:r w:rsidR="00627A9C">
        <w:rPr>
          <w:rFonts w:ascii="Times New Roman" w:hAnsi="Times New Roman" w:cs="Times New Roman"/>
        </w:rPr>
        <w:t>still</w:t>
      </w:r>
      <w:r>
        <w:rPr>
          <w:rFonts w:ascii="Times New Roman" w:hAnsi="Times New Roman" w:cs="Times New Roman"/>
        </w:rPr>
        <w:t xml:space="preserve"> be some </w:t>
      </w:r>
      <w:r w:rsidR="00091B19">
        <w:rPr>
          <w:rFonts w:ascii="Times New Roman" w:hAnsi="Times New Roman" w:cs="Times New Roman"/>
        </w:rPr>
        <w:t xml:space="preserve">pushback from those who contend </w:t>
      </w:r>
      <w:r>
        <w:rPr>
          <w:rFonts w:ascii="Times New Roman" w:hAnsi="Times New Roman" w:cs="Times New Roman"/>
        </w:rPr>
        <w:t>that fair uses of copyrighted works do not need to be paid for</w:t>
      </w:r>
      <w:r w:rsidR="00091B19">
        <w:rPr>
          <w:rFonts w:ascii="Times New Roman" w:hAnsi="Times New Roman" w:cs="Times New Roman"/>
        </w:rPr>
        <w:t>.</w:t>
      </w:r>
      <w:r w:rsidR="00F178E0">
        <w:rPr>
          <w:rStyle w:val="FootnoteReference"/>
          <w:rFonts w:ascii="Times New Roman" w:hAnsi="Times New Roman" w:cs="Times New Roman"/>
        </w:rPr>
        <w:footnoteReference w:id="294"/>
      </w:r>
      <w:r w:rsidR="00091B19">
        <w:rPr>
          <w:rFonts w:ascii="Times New Roman" w:hAnsi="Times New Roman" w:cs="Times New Roman"/>
        </w:rPr>
        <w:t xml:space="preserve"> However, many</w:t>
      </w:r>
      <w:r>
        <w:rPr>
          <w:rFonts w:ascii="Times New Roman" w:hAnsi="Times New Roman" w:cs="Times New Roman"/>
        </w:rPr>
        <w:t xml:space="preserve"> AI developers </w:t>
      </w:r>
      <w:r w:rsidR="00921781">
        <w:rPr>
          <w:rFonts w:ascii="Times New Roman" w:hAnsi="Times New Roman" w:cs="Times New Roman"/>
        </w:rPr>
        <w:t xml:space="preserve">may </w:t>
      </w:r>
      <w:r>
        <w:rPr>
          <w:rFonts w:ascii="Times New Roman" w:hAnsi="Times New Roman" w:cs="Times New Roman"/>
        </w:rPr>
        <w:t xml:space="preserve">decide that licensing is </w:t>
      </w:r>
      <w:r w:rsidR="00091B19">
        <w:rPr>
          <w:rFonts w:ascii="Times New Roman" w:hAnsi="Times New Roman" w:cs="Times New Roman"/>
        </w:rPr>
        <w:t xml:space="preserve">easier and </w:t>
      </w:r>
      <w:r>
        <w:rPr>
          <w:rFonts w:ascii="Times New Roman" w:hAnsi="Times New Roman" w:cs="Times New Roman"/>
        </w:rPr>
        <w:t>less risky.</w:t>
      </w:r>
      <w:r w:rsidR="007901E7">
        <w:rPr>
          <w:rFonts w:ascii="Times New Roman" w:hAnsi="Times New Roman" w:cs="Times New Roman"/>
        </w:rPr>
        <w:t xml:space="preserve"> With a strong ruling in favor of the AI developers in the </w:t>
      </w:r>
      <w:r w:rsidR="007901E7" w:rsidRPr="00921781">
        <w:rPr>
          <w:rFonts w:ascii="Times New Roman" w:hAnsi="Times New Roman" w:cs="Times New Roman"/>
          <w:i/>
        </w:rPr>
        <w:t>OpenAI cases</w:t>
      </w:r>
      <w:r w:rsidR="007901E7">
        <w:rPr>
          <w:rFonts w:ascii="Times New Roman" w:hAnsi="Times New Roman" w:cs="Times New Roman"/>
        </w:rPr>
        <w:t xml:space="preserve">, we might even see a new </w:t>
      </w:r>
      <w:r w:rsidR="00091B19">
        <w:rPr>
          <w:rFonts w:ascii="Times New Roman" w:hAnsi="Times New Roman" w:cs="Times New Roman"/>
        </w:rPr>
        <w:t>acceptance</w:t>
      </w:r>
      <w:r w:rsidR="007901E7">
        <w:rPr>
          <w:rFonts w:ascii="Times New Roman" w:hAnsi="Times New Roman" w:cs="Times New Roman"/>
        </w:rPr>
        <w:t xml:space="preserve"> for </w:t>
      </w:r>
      <w:r w:rsidR="00921781">
        <w:rPr>
          <w:rFonts w:ascii="Times New Roman" w:hAnsi="Times New Roman" w:cs="Times New Roman"/>
        </w:rPr>
        <w:t>“</w:t>
      </w:r>
      <w:r w:rsidR="007901E7">
        <w:rPr>
          <w:rFonts w:ascii="Times New Roman" w:hAnsi="Times New Roman" w:cs="Times New Roman"/>
        </w:rPr>
        <w:t>scraping the web</w:t>
      </w:r>
      <w:r w:rsidR="00091B19">
        <w:rPr>
          <w:rFonts w:ascii="Times New Roman" w:hAnsi="Times New Roman" w:cs="Times New Roman"/>
        </w:rPr>
        <w:t>,</w:t>
      </w:r>
      <w:r w:rsidR="00921781">
        <w:rPr>
          <w:rFonts w:ascii="Times New Roman" w:hAnsi="Times New Roman" w:cs="Times New Roman"/>
        </w:rPr>
        <w:t>”</w:t>
      </w:r>
      <w:r w:rsidR="007901E7">
        <w:rPr>
          <w:rFonts w:ascii="Times New Roman" w:hAnsi="Times New Roman" w:cs="Times New Roman"/>
        </w:rPr>
        <w:t xml:space="preserve"> mu</w:t>
      </w:r>
      <w:r w:rsidR="00921781">
        <w:rPr>
          <w:rFonts w:ascii="Times New Roman" w:hAnsi="Times New Roman" w:cs="Times New Roman"/>
        </w:rPr>
        <w:t>c</w:t>
      </w:r>
      <w:r w:rsidR="007901E7">
        <w:rPr>
          <w:rFonts w:ascii="Times New Roman" w:hAnsi="Times New Roman" w:cs="Times New Roman"/>
        </w:rPr>
        <w:t xml:space="preserve">h like we saw a new set of standards regarding copying books </w:t>
      </w:r>
      <w:proofErr w:type="spellStart"/>
      <w:r w:rsidR="00091B19">
        <w:rPr>
          <w:rFonts w:ascii="Times New Roman" w:hAnsi="Times New Roman" w:cs="Times New Roman"/>
        </w:rPr>
        <w:t>en</w:t>
      </w:r>
      <w:proofErr w:type="spellEnd"/>
      <w:r w:rsidR="00091B19">
        <w:rPr>
          <w:rFonts w:ascii="Times New Roman" w:hAnsi="Times New Roman" w:cs="Times New Roman"/>
        </w:rPr>
        <w:t xml:space="preserve"> masse </w:t>
      </w:r>
      <w:r w:rsidR="007901E7">
        <w:rPr>
          <w:rFonts w:ascii="Times New Roman" w:hAnsi="Times New Roman" w:cs="Times New Roman"/>
        </w:rPr>
        <w:t>afte</w:t>
      </w:r>
      <w:r w:rsidR="00921781">
        <w:rPr>
          <w:rFonts w:ascii="Times New Roman" w:hAnsi="Times New Roman" w:cs="Times New Roman"/>
        </w:rPr>
        <w:t>r</w:t>
      </w:r>
      <w:r w:rsidR="007901E7">
        <w:rPr>
          <w:rFonts w:ascii="Times New Roman" w:hAnsi="Times New Roman" w:cs="Times New Roman"/>
        </w:rPr>
        <w:t xml:space="preserve"> the </w:t>
      </w:r>
      <w:r w:rsidR="007901E7" w:rsidRPr="00921781">
        <w:rPr>
          <w:rFonts w:ascii="Times New Roman" w:hAnsi="Times New Roman" w:cs="Times New Roman"/>
          <w:i/>
        </w:rPr>
        <w:t>HathiTrust</w:t>
      </w:r>
      <w:r w:rsidR="007901E7">
        <w:rPr>
          <w:rFonts w:ascii="Times New Roman" w:hAnsi="Times New Roman" w:cs="Times New Roman"/>
        </w:rPr>
        <w:t xml:space="preserve"> and </w:t>
      </w:r>
      <w:r w:rsidR="007901E7" w:rsidRPr="00921781">
        <w:rPr>
          <w:rFonts w:ascii="Times New Roman" w:hAnsi="Times New Roman" w:cs="Times New Roman"/>
          <w:i/>
        </w:rPr>
        <w:t>Google Books</w:t>
      </w:r>
      <w:r w:rsidR="007901E7">
        <w:rPr>
          <w:rFonts w:ascii="Times New Roman" w:hAnsi="Times New Roman" w:cs="Times New Roman"/>
        </w:rPr>
        <w:t xml:space="preserve"> cases.</w:t>
      </w:r>
    </w:p>
    <w:p w14:paraId="65B517B4" w14:textId="60D85671" w:rsidR="00121D6D" w:rsidRDefault="00270DDC" w:rsidP="005D13BF">
      <w:pPr>
        <w:rPr>
          <w:rFonts w:ascii="Times New Roman" w:hAnsi="Times New Roman" w:cs="Times New Roman"/>
        </w:rPr>
      </w:pPr>
      <w:r>
        <w:rPr>
          <w:rFonts w:ascii="Times New Roman" w:hAnsi="Times New Roman" w:cs="Times New Roman"/>
        </w:rPr>
        <w:t xml:space="preserve">Other peripheral issues will also be resolved by a finding of fair use in the </w:t>
      </w:r>
      <w:r w:rsidRPr="00921781">
        <w:rPr>
          <w:rFonts w:ascii="Times New Roman" w:hAnsi="Times New Roman" w:cs="Times New Roman"/>
          <w:i/>
        </w:rPr>
        <w:t>OpenAI cases</w:t>
      </w:r>
      <w:r>
        <w:rPr>
          <w:rFonts w:ascii="Times New Roman" w:hAnsi="Times New Roman" w:cs="Times New Roman"/>
        </w:rPr>
        <w:t xml:space="preserve">. DMCA claims will likely disappear. Terms of </w:t>
      </w:r>
      <w:r w:rsidR="0056346F">
        <w:rPr>
          <w:rFonts w:ascii="Times New Roman" w:hAnsi="Times New Roman" w:cs="Times New Roman"/>
        </w:rPr>
        <w:t>service</w:t>
      </w:r>
      <w:r>
        <w:rPr>
          <w:rFonts w:ascii="Times New Roman" w:hAnsi="Times New Roman" w:cs="Times New Roman"/>
        </w:rPr>
        <w:t xml:space="preserve"> and other contract claims regarding inappropriate access will also probably fade away until a new generation of licensing issues emerge down the road.</w:t>
      </w:r>
      <w:r w:rsidR="0056346F">
        <w:rPr>
          <w:rFonts w:ascii="Times New Roman" w:hAnsi="Times New Roman" w:cs="Times New Roman"/>
        </w:rPr>
        <w:t xml:space="preserve"> Disputes involving image- and music-generating AI will not be entirely resolved by a fair use decision</w:t>
      </w:r>
      <w:r w:rsidR="000C19C1">
        <w:rPr>
          <w:rFonts w:ascii="Times New Roman" w:hAnsi="Times New Roman" w:cs="Times New Roman"/>
        </w:rPr>
        <w:t xml:space="preserve"> in favor of AI training</w:t>
      </w:r>
      <w:r w:rsidR="0056346F">
        <w:rPr>
          <w:rFonts w:ascii="Times New Roman" w:hAnsi="Times New Roman" w:cs="Times New Roman"/>
        </w:rPr>
        <w:t>; nor will trademark disputes. They will be addressed in the next section.</w:t>
      </w:r>
    </w:p>
    <w:p w14:paraId="738E0353" w14:textId="77F5959A" w:rsidR="00481785" w:rsidRPr="005D13BF" w:rsidRDefault="00481785" w:rsidP="005D13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3" w:name="_Toc220693084"/>
      <w:r w:rsidRPr="005D13BF">
        <w:rPr>
          <w:rFonts w:ascii="Times New Roman" w:eastAsia="Times New Roman" w:hAnsi="Times New Roman" w:cs="Times New Roman"/>
          <w:b/>
          <w:bCs/>
          <w:kern w:val="0"/>
          <w:sz w:val="27"/>
          <w:szCs w:val="27"/>
          <w14:ligatures w14:val="none"/>
        </w:rPr>
        <w:t>B. Output: Infringement</w:t>
      </w:r>
      <w:bookmarkEnd w:id="63"/>
    </w:p>
    <w:p w14:paraId="1FD47C2C" w14:textId="5376CC19" w:rsidR="00F462B6" w:rsidRPr="005D13BF" w:rsidRDefault="007250BD" w:rsidP="005D13BF">
      <w:pPr>
        <w:rPr>
          <w:rFonts w:ascii="Times New Roman" w:hAnsi="Times New Roman" w:cs="Times New Roman"/>
        </w:rPr>
      </w:pPr>
      <w:r w:rsidRPr="005D13BF">
        <w:rPr>
          <w:rFonts w:ascii="Times New Roman" w:hAnsi="Times New Roman" w:cs="Times New Roman"/>
        </w:rPr>
        <w:t xml:space="preserve">AI companies are going to have to do a better job of making sure that copies upon which models </w:t>
      </w:r>
      <w:r w:rsidR="00C66D4B">
        <w:rPr>
          <w:rFonts w:ascii="Times New Roman" w:hAnsi="Times New Roman" w:cs="Times New Roman"/>
        </w:rPr>
        <w:t>a</w:t>
      </w:r>
      <w:r w:rsidRPr="005D13BF">
        <w:rPr>
          <w:rFonts w:ascii="Times New Roman" w:hAnsi="Times New Roman" w:cs="Times New Roman"/>
        </w:rPr>
        <w:t xml:space="preserve">re trained do </w:t>
      </w:r>
      <w:r w:rsidR="00C66D4B">
        <w:rPr>
          <w:rFonts w:ascii="Times New Roman" w:hAnsi="Times New Roman" w:cs="Times New Roman"/>
        </w:rPr>
        <w:t>not produce</w:t>
      </w:r>
      <w:r w:rsidRPr="005D13BF">
        <w:rPr>
          <w:rFonts w:ascii="Times New Roman" w:hAnsi="Times New Roman" w:cs="Times New Roman"/>
        </w:rPr>
        <w:t xml:space="preserve"> substantially similar output. As </w:t>
      </w:r>
      <w:r w:rsidR="00B7064A">
        <w:rPr>
          <w:rFonts w:ascii="Times New Roman" w:hAnsi="Times New Roman" w:cs="Times New Roman"/>
        </w:rPr>
        <w:t>discussed earlier</w:t>
      </w:r>
      <w:r w:rsidRPr="005D13BF">
        <w:rPr>
          <w:rFonts w:ascii="Times New Roman" w:hAnsi="Times New Roman" w:cs="Times New Roman"/>
        </w:rPr>
        <w:t>, as training becomes more sophisticated</w:t>
      </w:r>
      <w:r w:rsidR="00B7064A">
        <w:rPr>
          <w:rFonts w:ascii="Times New Roman" w:hAnsi="Times New Roman" w:cs="Times New Roman"/>
        </w:rPr>
        <w:t xml:space="preserve">, better guardrails will develop and it will become easier </w:t>
      </w:r>
      <w:r w:rsidRPr="005D13BF">
        <w:rPr>
          <w:rFonts w:ascii="Times New Roman" w:hAnsi="Times New Roman" w:cs="Times New Roman"/>
        </w:rPr>
        <w:t xml:space="preserve">to separate idea from </w:t>
      </w:r>
      <w:r w:rsidRPr="005D13BF">
        <w:rPr>
          <w:rFonts w:ascii="Times New Roman" w:hAnsi="Times New Roman" w:cs="Times New Roman"/>
        </w:rPr>
        <w:lastRenderedPageBreak/>
        <w:t>expression.</w:t>
      </w:r>
      <w:r w:rsidR="00B7064A">
        <w:rPr>
          <w:rStyle w:val="FootnoteReference"/>
          <w:rFonts w:ascii="Times New Roman" w:hAnsi="Times New Roman" w:cs="Times New Roman"/>
        </w:rPr>
        <w:footnoteReference w:id="295"/>
      </w:r>
      <w:r w:rsidRPr="005D13BF">
        <w:rPr>
          <w:rFonts w:ascii="Times New Roman" w:hAnsi="Times New Roman" w:cs="Times New Roman"/>
        </w:rPr>
        <w:t xml:space="preserve"> Repeated model training has worked well</w:t>
      </w:r>
      <w:r w:rsidR="00B7064A">
        <w:rPr>
          <w:rFonts w:ascii="Times New Roman" w:hAnsi="Times New Roman" w:cs="Times New Roman"/>
        </w:rPr>
        <w:t xml:space="preserve"> and o</w:t>
      </w:r>
      <w:r w:rsidRPr="005D13BF">
        <w:rPr>
          <w:rFonts w:ascii="Times New Roman" w:hAnsi="Times New Roman" w:cs="Times New Roman"/>
        </w:rPr>
        <w:t xml:space="preserve">ther guardrails </w:t>
      </w:r>
      <w:r w:rsidR="00B7064A">
        <w:rPr>
          <w:rFonts w:ascii="Times New Roman" w:hAnsi="Times New Roman" w:cs="Times New Roman"/>
        </w:rPr>
        <w:t>will emerge</w:t>
      </w:r>
      <w:r w:rsidRPr="005D13BF">
        <w:rPr>
          <w:rFonts w:ascii="Times New Roman" w:hAnsi="Times New Roman" w:cs="Times New Roman"/>
        </w:rPr>
        <w:t xml:space="preserve">. Attempts to prevent memorization and </w:t>
      </w:r>
      <w:r w:rsidR="00C031FC">
        <w:rPr>
          <w:rFonts w:ascii="Times New Roman" w:hAnsi="Times New Roman" w:cs="Times New Roman"/>
        </w:rPr>
        <w:t>regurgitation</w:t>
      </w:r>
      <w:r w:rsidRPr="005D13BF">
        <w:rPr>
          <w:rFonts w:ascii="Times New Roman" w:hAnsi="Times New Roman" w:cs="Times New Roman"/>
        </w:rPr>
        <w:t xml:space="preserve"> will eventually be successful enough to defeat most claims regarding text</w:t>
      </w:r>
      <w:r w:rsidR="00B7064A">
        <w:rPr>
          <w:rFonts w:ascii="Times New Roman" w:hAnsi="Times New Roman" w:cs="Times New Roman"/>
        </w:rPr>
        <w:t>-generation</w:t>
      </w:r>
      <w:r w:rsidRPr="005D13BF">
        <w:rPr>
          <w:rFonts w:ascii="Times New Roman" w:hAnsi="Times New Roman" w:cs="Times New Roman"/>
        </w:rPr>
        <w:t xml:space="preserve">. Models that produce images and music will have a tougher time. </w:t>
      </w:r>
    </w:p>
    <w:p w14:paraId="7231622F" w14:textId="58F45B6E" w:rsidR="007A358C" w:rsidRPr="005D13BF" w:rsidRDefault="007250BD" w:rsidP="005D13BF">
      <w:pPr>
        <w:rPr>
          <w:rFonts w:ascii="Times New Roman" w:hAnsi="Times New Roman" w:cs="Times New Roman"/>
        </w:rPr>
      </w:pPr>
      <w:r w:rsidRPr="005D13BF">
        <w:rPr>
          <w:rFonts w:ascii="Times New Roman" w:hAnsi="Times New Roman" w:cs="Times New Roman"/>
        </w:rPr>
        <w:t>There will be many cases alleging substantial similarity between images used for training and images produced as outputs. Prompting will become a major issue and there will eventually be more recognition that</w:t>
      </w:r>
      <w:r w:rsidR="00F462B6" w:rsidRPr="005D13BF">
        <w:rPr>
          <w:rFonts w:ascii="Times New Roman" w:hAnsi="Times New Roman" w:cs="Times New Roman"/>
        </w:rPr>
        <w:t xml:space="preserve"> </w:t>
      </w:r>
      <w:r w:rsidR="00B7064A">
        <w:rPr>
          <w:rFonts w:ascii="Times New Roman" w:hAnsi="Times New Roman" w:cs="Times New Roman"/>
        </w:rPr>
        <w:t xml:space="preserve">sophisticated and </w:t>
      </w:r>
      <w:r w:rsidRPr="005D13BF">
        <w:rPr>
          <w:rFonts w:ascii="Times New Roman" w:hAnsi="Times New Roman" w:cs="Times New Roman"/>
        </w:rPr>
        <w:t xml:space="preserve">repeated prompting will be able to reproduce </w:t>
      </w:r>
      <w:r w:rsidR="00F462B6" w:rsidRPr="005D13BF">
        <w:rPr>
          <w:rFonts w:ascii="Times New Roman" w:hAnsi="Times New Roman" w:cs="Times New Roman"/>
        </w:rPr>
        <w:t xml:space="preserve">output that will closely resemble copyrighted works. </w:t>
      </w:r>
      <w:r w:rsidR="00B7064A">
        <w:rPr>
          <w:rFonts w:ascii="Times New Roman" w:hAnsi="Times New Roman" w:cs="Times New Roman"/>
        </w:rPr>
        <w:t>Caselaw will likely shape a bal</w:t>
      </w:r>
      <w:r w:rsidR="00F462B6" w:rsidRPr="005D13BF">
        <w:rPr>
          <w:rFonts w:ascii="Times New Roman" w:hAnsi="Times New Roman" w:cs="Times New Roman"/>
        </w:rPr>
        <w:t xml:space="preserve">ance between prompting and </w:t>
      </w:r>
      <w:r w:rsidR="00C66D4B">
        <w:rPr>
          <w:rFonts w:ascii="Times New Roman" w:hAnsi="Times New Roman" w:cs="Times New Roman"/>
        </w:rPr>
        <w:t>substantial similarity</w:t>
      </w:r>
      <w:r w:rsidR="00F462B6" w:rsidRPr="005D13BF">
        <w:rPr>
          <w:rFonts w:ascii="Times New Roman" w:hAnsi="Times New Roman" w:cs="Times New Roman"/>
        </w:rPr>
        <w:t xml:space="preserve">. </w:t>
      </w:r>
    </w:p>
    <w:p w14:paraId="6DC9C3CE" w14:textId="5FF190B5" w:rsidR="00F462B6" w:rsidRDefault="00F462B6" w:rsidP="005D13BF">
      <w:pPr>
        <w:rPr>
          <w:rFonts w:ascii="Times New Roman" w:hAnsi="Times New Roman" w:cs="Times New Roman"/>
        </w:rPr>
      </w:pPr>
      <w:r w:rsidRPr="005D13BF">
        <w:rPr>
          <w:rFonts w:ascii="Times New Roman" w:hAnsi="Times New Roman" w:cs="Times New Roman"/>
        </w:rPr>
        <w:t xml:space="preserve">It will be even more problematic for models that generate photo-realistic images or videos, and for those that generate music and performance of music. The number of </w:t>
      </w:r>
      <w:proofErr w:type="gramStart"/>
      <w:r w:rsidRPr="005D13BF">
        <w:rPr>
          <w:rFonts w:ascii="Times New Roman" w:hAnsi="Times New Roman" w:cs="Times New Roman"/>
        </w:rPr>
        <w:t>right</w:t>
      </w:r>
      <w:proofErr w:type="gramEnd"/>
      <w:r w:rsidRPr="005D13BF">
        <w:rPr>
          <w:rFonts w:ascii="Times New Roman" w:hAnsi="Times New Roman" w:cs="Times New Roman"/>
        </w:rPr>
        <w:t xml:space="preserve"> of publicity cases </w:t>
      </w:r>
      <w:r w:rsidR="00C66D4B">
        <w:rPr>
          <w:rFonts w:ascii="Times New Roman" w:hAnsi="Times New Roman" w:cs="Times New Roman"/>
        </w:rPr>
        <w:t>will</w:t>
      </w:r>
      <w:r w:rsidRPr="005D13BF">
        <w:rPr>
          <w:rFonts w:ascii="Times New Roman" w:hAnsi="Times New Roman" w:cs="Times New Roman"/>
        </w:rPr>
        <w:t xml:space="preserve"> explode. Music cloning and deepfakes </w:t>
      </w:r>
      <w:r w:rsidR="00C031FC">
        <w:rPr>
          <w:rFonts w:ascii="Times New Roman" w:hAnsi="Times New Roman" w:cs="Times New Roman"/>
        </w:rPr>
        <w:t xml:space="preserve">have </w:t>
      </w:r>
      <w:r w:rsidRPr="005D13BF">
        <w:rPr>
          <w:rFonts w:ascii="Times New Roman" w:hAnsi="Times New Roman" w:cs="Times New Roman"/>
        </w:rPr>
        <w:t xml:space="preserve">already exceeded all expectations about </w:t>
      </w:r>
      <w:r w:rsidR="00627A9C">
        <w:rPr>
          <w:rFonts w:ascii="Times New Roman" w:hAnsi="Times New Roman" w:cs="Times New Roman"/>
        </w:rPr>
        <w:t xml:space="preserve">how </w:t>
      </w:r>
      <w:r w:rsidR="00B7064A">
        <w:rPr>
          <w:rFonts w:ascii="Times New Roman" w:hAnsi="Times New Roman" w:cs="Times New Roman"/>
        </w:rPr>
        <w:t xml:space="preserve">long </w:t>
      </w:r>
      <w:r w:rsidR="00627A9C">
        <w:rPr>
          <w:rFonts w:ascii="Times New Roman" w:hAnsi="Times New Roman" w:cs="Times New Roman"/>
        </w:rPr>
        <w:t>it would take for them to be</w:t>
      </w:r>
      <w:r w:rsidR="00B7064A">
        <w:rPr>
          <w:rFonts w:ascii="Times New Roman" w:hAnsi="Times New Roman" w:cs="Times New Roman"/>
        </w:rPr>
        <w:t xml:space="preserve">come </w:t>
      </w:r>
      <w:r w:rsidR="00627A9C">
        <w:rPr>
          <w:rFonts w:ascii="Times New Roman" w:hAnsi="Times New Roman" w:cs="Times New Roman"/>
        </w:rPr>
        <w:t xml:space="preserve">realistic. That time has come. </w:t>
      </w:r>
      <w:r w:rsidRPr="005D13BF">
        <w:rPr>
          <w:rFonts w:ascii="Times New Roman" w:hAnsi="Times New Roman" w:cs="Times New Roman"/>
        </w:rPr>
        <w:t xml:space="preserve">There will likely be another push to create a </w:t>
      </w:r>
      <w:r w:rsidR="007901E7">
        <w:rPr>
          <w:rFonts w:ascii="Times New Roman" w:hAnsi="Times New Roman" w:cs="Times New Roman"/>
        </w:rPr>
        <w:t xml:space="preserve">new </w:t>
      </w:r>
      <w:r w:rsidRPr="005D13BF">
        <w:rPr>
          <w:rFonts w:ascii="Times New Roman" w:hAnsi="Times New Roman" w:cs="Times New Roman"/>
        </w:rPr>
        <w:t>federal law</w:t>
      </w:r>
      <w:r w:rsidR="007901E7">
        <w:rPr>
          <w:rFonts w:ascii="Times New Roman" w:hAnsi="Times New Roman" w:cs="Times New Roman"/>
        </w:rPr>
        <w:t xml:space="preserve"> regarding the right of publicity in order</w:t>
      </w:r>
      <w:r w:rsidRPr="005D13BF">
        <w:rPr>
          <w:rFonts w:ascii="Times New Roman" w:hAnsi="Times New Roman" w:cs="Times New Roman"/>
        </w:rPr>
        <w:t xml:space="preserve"> to eliminate the </w:t>
      </w:r>
      <w:r w:rsidR="007901E7">
        <w:rPr>
          <w:rFonts w:ascii="Times New Roman" w:hAnsi="Times New Roman" w:cs="Times New Roman"/>
        </w:rPr>
        <w:t xml:space="preserve">enormous </w:t>
      </w:r>
      <w:r w:rsidRPr="005D13BF">
        <w:rPr>
          <w:rFonts w:ascii="Times New Roman" w:hAnsi="Times New Roman" w:cs="Times New Roman"/>
        </w:rPr>
        <w:t>vari</w:t>
      </w:r>
      <w:r w:rsidR="007901E7">
        <w:rPr>
          <w:rFonts w:ascii="Times New Roman" w:hAnsi="Times New Roman" w:cs="Times New Roman"/>
        </w:rPr>
        <w:t>ation in</w:t>
      </w:r>
      <w:r w:rsidRPr="005D13BF">
        <w:rPr>
          <w:rFonts w:ascii="Times New Roman" w:hAnsi="Times New Roman" w:cs="Times New Roman"/>
        </w:rPr>
        <w:t xml:space="preserve"> state laws</w:t>
      </w:r>
      <w:r w:rsidR="007901E7">
        <w:rPr>
          <w:rFonts w:ascii="Times New Roman" w:hAnsi="Times New Roman" w:cs="Times New Roman"/>
        </w:rPr>
        <w:t>,</w:t>
      </w:r>
      <w:r w:rsidRPr="005D13BF">
        <w:rPr>
          <w:rFonts w:ascii="Times New Roman" w:hAnsi="Times New Roman" w:cs="Times New Roman"/>
        </w:rPr>
        <w:t xml:space="preserve"> and to try to </w:t>
      </w:r>
      <w:r w:rsidR="00627A9C">
        <w:rPr>
          <w:rFonts w:ascii="Times New Roman" w:hAnsi="Times New Roman" w:cs="Times New Roman"/>
        </w:rPr>
        <w:t>better integrate</w:t>
      </w:r>
      <w:r w:rsidRPr="005D13BF">
        <w:rPr>
          <w:rFonts w:ascii="Times New Roman" w:hAnsi="Times New Roman" w:cs="Times New Roman"/>
        </w:rPr>
        <w:t xml:space="preserve"> </w:t>
      </w:r>
      <w:r w:rsidR="00627A9C">
        <w:rPr>
          <w:rFonts w:ascii="Times New Roman" w:hAnsi="Times New Roman" w:cs="Times New Roman"/>
        </w:rPr>
        <w:t>the right</w:t>
      </w:r>
      <w:r w:rsidRPr="005D13BF">
        <w:rPr>
          <w:rFonts w:ascii="Times New Roman" w:hAnsi="Times New Roman" w:cs="Times New Roman"/>
        </w:rPr>
        <w:t xml:space="preserve"> with other types of intellectual property laws and with First Amendment </w:t>
      </w:r>
      <w:r w:rsidR="00627A9C">
        <w:rPr>
          <w:rFonts w:ascii="Times New Roman" w:hAnsi="Times New Roman" w:cs="Times New Roman"/>
        </w:rPr>
        <w:t>protection</w:t>
      </w:r>
      <w:r w:rsidRPr="005D13BF">
        <w:rPr>
          <w:rFonts w:ascii="Times New Roman" w:hAnsi="Times New Roman" w:cs="Times New Roman"/>
        </w:rPr>
        <w:t>.</w:t>
      </w:r>
    </w:p>
    <w:p w14:paraId="68D00B5C" w14:textId="6AA06F92" w:rsidR="007901E7" w:rsidRPr="005D13BF" w:rsidRDefault="007901E7" w:rsidP="005D13BF">
      <w:pPr>
        <w:rPr>
          <w:rFonts w:ascii="Times New Roman" w:hAnsi="Times New Roman" w:cs="Times New Roman"/>
        </w:rPr>
      </w:pPr>
      <w:r>
        <w:rPr>
          <w:rFonts w:ascii="Times New Roman" w:hAnsi="Times New Roman" w:cs="Times New Roman"/>
        </w:rPr>
        <w:t xml:space="preserve">Trademark claims will </w:t>
      </w:r>
      <w:r w:rsidR="00627A9C">
        <w:rPr>
          <w:rFonts w:ascii="Times New Roman" w:hAnsi="Times New Roman" w:cs="Times New Roman"/>
        </w:rPr>
        <w:t>probably</w:t>
      </w:r>
      <w:r>
        <w:rPr>
          <w:rFonts w:ascii="Times New Roman" w:hAnsi="Times New Roman" w:cs="Times New Roman"/>
        </w:rPr>
        <w:t xml:space="preserve"> continue as long as trademarks and other identifying marks are produced in output. As the training methods and guardrails improve</w:t>
      </w:r>
      <w:r w:rsidR="00627A9C">
        <w:rPr>
          <w:rFonts w:ascii="Times New Roman" w:hAnsi="Times New Roman" w:cs="Times New Roman"/>
        </w:rPr>
        <w:t>, inadvertent regur</w:t>
      </w:r>
      <w:r>
        <w:rPr>
          <w:rFonts w:ascii="Times New Roman" w:hAnsi="Times New Roman" w:cs="Times New Roman"/>
        </w:rPr>
        <w:t>gitations</w:t>
      </w:r>
      <w:r w:rsidR="00627A9C">
        <w:rPr>
          <w:rFonts w:ascii="Times New Roman" w:hAnsi="Times New Roman" w:cs="Times New Roman"/>
        </w:rPr>
        <w:t xml:space="preserve"> will decrease and so will most</w:t>
      </w:r>
      <w:r>
        <w:rPr>
          <w:rFonts w:ascii="Times New Roman" w:hAnsi="Times New Roman" w:cs="Times New Roman"/>
        </w:rPr>
        <w:t xml:space="preserve"> trademark claims.</w:t>
      </w:r>
    </w:p>
    <w:p w14:paraId="2A227F44" w14:textId="7946E396" w:rsidR="00481785" w:rsidRPr="005D13BF" w:rsidRDefault="00481785" w:rsidP="005D13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4" w:name="_Toc220693085"/>
      <w:r w:rsidRPr="005D13BF">
        <w:rPr>
          <w:rFonts w:ascii="Times New Roman" w:eastAsia="Times New Roman" w:hAnsi="Times New Roman" w:cs="Times New Roman"/>
          <w:b/>
          <w:bCs/>
          <w:kern w:val="0"/>
          <w:sz w:val="27"/>
          <w:szCs w:val="27"/>
          <w14:ligatures w14:val="none"/>
        </w:rPr>
        <w:t>C. Output: Copyrightability</w:t>
      </w:r>
      <w:bookmarkEnd w:id="64"/>
    </w:p>
    <w:p w14:paraId="22CEB868" w14:textId="446B2EBD" w:rsidR="007A358C" w:rsidRDefault="00305EC9" w:rsidP="005D13BF">
      <w:pPr>
        <w:rPr>
          <w:rFonts w:ascii="Times New Roman" w:hAnsi="Times New Roman" w:cs="Times New Roman"/>
        </w:rPr>
      </w:pPr>
      <w:r>
        <w:rPr>
          <w:rFonts w:ascii="Times New Roman" w:hAnsi="Times New Roman" w:cs="Times New Roman"/>
        </w:rPr>
        <w:t xml:space="preserve">While I understand and appreciate the Office’s reluctance to accept anything other than human authorship, I think this issue </w:t>
      </w:r>
      <w:r w:rsidR="004C5B32" w:rsidRPr="005D13BF">
        <w:rPr>
          <w:rFonts w:ascii="Times New Roman" w:hAnsi="Times New Roman" w:cs="Times New Roman"/>
        </w:rPr>
        <w:t xml:space="preserve">will slowly, but </w:t>
      </w:r>
      <w:r w:rsidRPr="005D13BF">
        <w:rPr>
          <w:rFonts w:ascii="Times New Roman" w:hAnsi="Times New Roman" w:cs="Times New Roman"/>
        </w:rPr>
        <w:t>inevitably</w:t>
      </w:r>
      <w:r w:rsidR="00627A9C">
        <w:rPr>
          <w:rFonts w:ascii="Times New Roman" w:hAnsi="Times New Roman" w:cs="Times New Roman"/>
        </w:rPr>
        <w:t>,</w:t>
      </w:r>
      <w:r w:rsidR="004C5B32" w:rsidRPr="005D13BF">
        <w:rPr>
          <w:rFonts w:ascii="Times New Roman" w:hAnsi="Times New Roman" w:cs="Times New Roman"/>
        </w:rPr>
        <w:t xml:space="preserve"> result in compromise</w:t>
      </w:r>
      <w:r>
        <w:rPr>
          <w:rFonts w:ascii="Times New Roman" w:hAnsi="Times New Roman" w:cs="Times New Roman"/>
        </w:rPr>
        <w:t xml:space="preserve"> and acc</w:t>
      </w:r>
      <w:r w:rsidR="00B7064A">
        <w:rPr>
          <w:rFonts w:ascii="Times New Roman" w:hAnsi="Times New Roman" w:cs="Times New Roman"/>
        </w:rPr>
        <w:t>ommodation</w:t>
      </w:r>
      <w:r w:rsidR="004C5B32" w:rsidRPr="005D13BF">
        <w:rPr>
          <w:rFonts w:ascii="Times New Roman" w:hAnsi="Times New Roman" w:cs="Times New Roman"/>
        </w:rPr>
        <w:t xml:space="preserve">. As AI becomes more </w:t>
      </w:r>
      <w:r>
        <w:rPr>
          <w:rFonts w:ascii="Times New Roman" w:hAnsi="Times New Roman" w:cs="Times New Roman"/>
        </w:rPr>
        <w:t>widel</w:t>
      </w:r>
      <w:r w:rsidR="004C5B32" w:rsidRPr="005D13BF">
        <w:rPr>
          <w:rFonts w:ascii="Times New Roman" w:hAnsi="Times New Roman" w:cs="Times New Roman"/>
        </w:rPr>
        <w:t xml:space="preserve">y </w:t>
      </w:r>
      <w:r w:rsidR="003F154F">
        <w:rPr>
          <w:rFonts w:ascii="Times New Roman" w:hAnsi="Times New Roman" w:cs="Times New Roman"/>
        </w:rPr>
        <w:t>acknowledged</w:t>
      </w:r>
      <w:r w:rsidR="004C5B32" w:rsidRPr="005D13BF">
        <w:rPr>
          <w:rFonts w:ascii="Times New Roman" w:hAnsi="Times New Roman" w:cs="Times New Roman"/>
        </w:rPr>
        <w:t xml:space="preserve"> as just another tool, there will be more acceptance of the role that humans </w:t>
      </w:r>
      <w:r>
        <w:rPr>
          <w:rFonts w:ascii="Times New Roman" w:hAnsi="Times New Roman" w:cs="Times New Roman"/>
        </w:rPr>
        <w:t>play</w:t>
      </w:r>
      <w:r w:rsidR="004C5B32" w:rsidRPr="005D13BF">
        <w:rPr>
          <w:rFonts w:ascii="Times New Roman" w:hAnsi="Times New Roman" w:cs="Times New Roman"/>
        </w:rPr>
        <w:t xml:space="preserve"> in shaping output. Prompting and other forms of creativ</w:t>
      </w:r>
      <w:r>
        <w:rPr>
          <w:rFonts w:ascii="Times New Roman" w:hAnsi="Times New Roman" w:cs="Times New Roman"/>
        </w:rPr>
        <w:t xml:space="preserve">e input </w:t>
      </w:r>
      <w:r w:rsidR="004C5B32" w:rsidRPr="005D13BF">
        <w:rPr>
          <w:rFonts w:ascii="Times New Roman" w:hAnsi="Times New Roman" w:cs="Times New Roman"/>
        </w:rPr>
        <w:t xml:space="preserve">will eventually be </w:t>
      </w:r>
      <w:r w:rsidR="003F154F">
        <w:rPr>
          <w:rFonts w:ascii="Times New Roman" w:hAnsi="Times New Roman" w:cs="Times New Roman"/>
        </w:rPr>
        <w:t>deemed to be</w:t>
      </w:r>
      <w:r w:rsidR="004C5B32" w:rsidRPr="005D13BF">
        <w:rPr>
          <w:rFonts w:ascii="Times New Roman" w:hAnsi="Times New Roman" w:cs="Times New Roman"/>
        </w:rPr>
        <w:t xml:space="preserve"> “human creativity</w:t>
      </w:r>
      <w:r>
        <w:rPr>
          <w:rFonts w:ascii="Times New Roman" w:hAnsi="Times New Roman" w:cs="Times New Roman"/>
        </w:rPr>
        <w:t>,</w:t>
      </w:r>
      <w:r w:rsidR="004C5B32" w:rsidRPr="005D13BF">
        <w:rPr>
          <w:rFonts w:ascii="Times New Roman" w:hAnsi="Times New Roman" w:cs="Times New Roman"/>
        </w:rPr>
        <w:t xml:space="preserve">” </w:t>
      </w:r>
      <w:r w:rsidR="003F154F">
        <w:rPr>
          <w:rFonts w:ascii="Times New Roman" w:hAnsi="Times New Roman" w:cs="Times New Roman"/>
        </w:rPr>
        <w:t xml:space="preserve">albeit </w:t>
      </w:r>
      <w:r w:rsidR="004C5B32" w:rsidRPr="005D13BF">
        <w:rPr>
          <w:rFonts w:ascii="Times New Roman" w:hAnsi="Times New Roman" w:cs="Times New Roman"/>
        </w:rPr>
        <w:t>as aided by very sophisticated and amazing tools</w:t>
      </w:r>
      <w:r w:rsidR="003220D3" w:rsidRPr="005D13BF">
        <w:rPr>
          <w:rFonts w:ascii="Times New Roman" w:hAnsi="Times New Roman" w:cs="Times New Roman"/>
        </w:rPr>
        <w:t xml:space="preserve">. </w:t>
      </w:r>
      <w:r w:rsidR="00243761">
        <w:rPr>
          <w:rFonts w:ascii="Times New Roman" w:hAnsi="Times New Roman" w:cs="Times New Roman"/>
        </w:rPr>
        <w:t>This may take a few years, but it will happen.</w:t>
      </w:r>
    </w:p>
    <w:p w14:paraId="6FCFAE36" w14:textId="2998F662" w:rsidR="00243761" w:rsidRPr="005D13BF" w:rsidRDefault="00243761" w:rsidP="0024376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5" w:name="_Toc220693086"/>
      <w:r>
        <w:rPr>
          <w:rFonts w:ascii="Times New Roman" w:eastAsia="Times New Roman" w:hAnsi="Times New Roman" w:cs="Times New Roman"/>
          <w:b/>
          <w:bCs/>
          <w:kern w:val="0"/>
          <w:sz w:val="27"/>
          <w:szCs w:val="27"/>
          <w14:ligatures w14:val="none"/>
        </w:rPr>
        <w:t>D</w:t>
      </w:r>
      <w:r w:rsidRPr="005D13BF">
        <w:rPr>
          <w:rFonts w:ascii="Times New Roman" w:eastAsia="Times New Roman" w:hAnsi="Times New Roman" w:cs="Times New Roman"/>
          <w:b/>
          <w:bCs/>
          <w:kern w:val="0"/>
          <w:sz w:val="27"/>
          <w:szCs w:val="27"/>
          <w14:ligatures w14:val="none"/>
        </w:rPr>
        <w:t xml:space="preserve">. </w:t>
      </w:r>
      <w:r>
        <w:rPr>
          <w:rFonts w:ascii="Times New Roman" w:eastAsia="Times New Roman" w:hAnsi="Times New Roman" w:cs="Times New Roman"/>
          <w:b/>
          <w:bCs/>
          <w:kern w:val="0"/>
          <w:sz w:val="27"/>
          <w:szCs w:val="27"/>
          <w14:ligatures w14:val="none"/>
        </w:rPr>
        <w:t>The Newest Building Block</w:t>
      </w:r>
      <w:bookmarkEnd w:id="65"/>
    </w:p>
    <w:p w14:paraId="13678E14" w14:textId="4C61293D" w:rsidR="00243761" w:rsidRDefault="00243761" w:rsidP="005D13BF">
      <w:pPr>
        <w:rPr>
          <w:rFonts w:ascii="Times New Roman" w:hAnsi="Times New Roman" w:cs="Times New Roman"/>
        </w:rPr>
      </w:pPr>
      <w:r>
        <w:rPr>
          <w:rFonts w:ascii="Times New Roman" w:hAnsi="Times New Roman" w:cs="Times New Roman"/>
        </w:rPr>
        <w:t>As has always been the case</w:t>
      </w:r>
      <w:r w:rsidR="003F154F">
        <w:rPr>
          <w:rFonts w:ascii="Times New Roman" w:hAnsi="Times New Roman" w:cs="Times New Roman"/>
        </w:rPr>
        <w:t>,</w:t>
      </w:r>
      <w:r>
        <w:rPr>
          <w:rFonts w:ascii="Times New Roman" w:hAnsi="Times New Roman" w:cs="Times New Roman"/>
        </w:rPr>
        <w:t xml:space="preserve"> and as will </w:t>
      </w:r>
      <w:r w:rsidR="003F154F">
        <w:rPr>
          <w:rFonts w:ascii="Times New Roman" w:hAnsi="Times New Roman" w:cs="Times New Roman"/>
        </w:rPr>
        <w:t>inevitably</w:t>
      </w:r>
      <w:r>
        <w:rPr>
          <w:rFonts w:ascii="Times New Roman" w:hAnsi="Times New Roman" w:cs="Times New Roman"/>
        </w:rPr>
        <w:t xml:space="preserve"> </w:t>
      </w:r>
      <w:r w:rsidR="00B7064A">
        <w:rPr>
          <w:rFonts w:ascii="Times New Roman" w:hAnsi="Times New Roman" w:cs="Times New Roman"/>
        </w:rPr>
        <w:t xml:space="preserve">always </w:t>
      </w:r>
      <w:r>
        <w:rPr>
          <w:rFonts w:ascii="Times New Roman" w:hAnsi="Times New Roman" w:cs="Times New Roman"/>
        </w:rPr>
        <w:t>be</w:t>
      </w:r>
      <w:r w:rsidR="00B7064A">
        <w:rPr>
          <w:rFonts w:ascii="Times New Roman" w:hAnsi="Times New Roman" w:cs="Times New Roman"/>
        </w:rPr>
        <w:t xml:space="preserve"> the case</w:t>
      </w:r>
      <w:r>
        <w:rPr>
          <w:rFonts w:ascii="Times New Roman" w:hAnsi="Times New Roman" w:cs="Times New Roman"/>
        </w:rPr>
        <w:t xml:space="preserve">, social values and technology </w:t>
      </w:r>
      <w:r w:rsidR="003F154F">
        <w:rPr>
          <w:rFonts w:ascii="Times New Roman" w:hAnsi="Times New Roman" w:cs="Times New Roman"/>
        </w:rPr>
        <w:t xml:space="preserve">will </w:t>
      </w:r>
      <w:r w:rsidR="00B7064A">
        <w:rPr>
          <w:rFonts w:ascii="Times New Roman" w:hAnsi="Times New Roman" w:cs="Times New Roman"/>
        </w:rPr>
        <w:t xml:space="preserve">continue to </w:t>
      </w:r>
      <w:r>
        <w:rPr>
          <w:rFonts w:ascii="Times New Roman" w:hAnsi="Times New Roman" w:cs="Times New Roman"/>
        </w:rPr>
        <w:t xml:space="preserve">evolve – and as they evolve, so </w:t>
      </w:r>
      <w:r w:rsidR="00B7064A">
        <w:rPr>
          <w:rFonts w:ascii="Times New Roman" w:hAnsi="Times New Roman" w:cs="Times New Roman"/>
        </w:rPr>
        <w:t>will</w:t>
      </w:r>
      <w:r>
        <w:rPr>
          <w:rFonts w:ascii="Times New Roman" w:hAnsi="Times New Roman" w:cs="Times New Roman"/>
        </w:rPr>
        <w:t xml:space="preserve"> the law.</w:t>
      </w:r>
      <w:r w:rsidR="00AB5B2C">
        <w:rPr>
          <w:rFonts w:ascii="Times New Roman" w:hAnsi="Times New Roman" w:cs="Times New Roman"/>
        </w:rPr>
        <w:t xml:space="preserve"> Copyright has often been </w:t>
      </w:r>
      <w:r w:rsidR="0078497B">
        <w:rPr>
          <w:rFonts w:ascii="Times New Roman" w:hAnsi="Times New Roman" w:cs="Times New Roman"/>
        </w:rPr>
        <w:t xml:space="preserve">on the cutting edge of </w:t>
      </w:r>
      <w:r w:rsidR="00AB5B2C">
        <w:rPr>
          <w:rFonts w:ascii="Times New Roman" w:hAnsi="Times New Roman" w:cs="Times New Roman"/>
        </w:rPr>
        <w:t>technological</w:t>
      </w:r>
      <w:r w:rsidR="003F154F">
        <w:rPr>
          <w:rFonts w:ascii="Times New Roman" w:hAnsi="Times New Roman" w:cs="Times New Roman"/>
        </w:rPr>
        <w:t xml:space="preserve"> </w:t>
      </w:r>
      <w:r w:rsidR="0078497B">
        <w:rPr>
          <w:rFonts w:ascii="Times New Roman" w:hAnsi="Times New Roman" w:cs="Times New Roman"/>
        </w:rPr>
        <w:t>adaption</w:t>
      </w:r>
      <w:r w:rsidR="00AB5B2C">
        <w:rPr>
          <w:rFonts w:ascii="Times New Roman" w:hAnsi="Times New Roman" w:cs="Times New Roman"/>
        </w:rPr>
        <w:t xml:space="preserve">. AI may </w:t>
      </w:r>
      <w:r w:rsidR="0078497B">
        <w:rPr>
          <w:rFonts w:ascii="Times New Roman" w:hAnsi="Times New Roman" w:cs="Times New Roman"/>
        </w:rPr>
        <w:t>very well be the most</w:t>
      </w:r>
      <w:r w:rsidR="00AB5B2C">
        <w:rPr>
          <w:rFonts w:ascii="Times New Roman" w:hAnsi="Times New Roman" w:cs="Times New Roman"/>
        </w:rPr>
        <w:t xml:space="preserve"> significant driver of change </w:t>
      </w:r>
      <w:r w:rsidR="0078497B">
        <w:rPr>
          <w:rFonts w:ascii="Times New Roman" w:hAnsi="Times New Roman" w:cs="Times New Roman"/>
        </w:rPr>
        <w:t xml:space="preserve">that </w:t>
      </w:r>
      <w:r w:rsidR="00AB5B2C">
        <w:rPr>
          <w:rFonts w:ascii="Times New Roman" w:hAnsi="Times New Roman" w:cs="Times New Roman"/>
        </w:rPr>
        <w:t xml:space="preserve">we have </w:t>
      </w:r>
      <w:r w:rsidR="003F154F">
        <w:rPr>
          <w:rFonts w:ascii="Times New Roman" w:hAnsi="Times New Roman" w:cs="Times New Roman"/>
        </w:rPr>
        <w:t xml:space="preserve">ever </w:t>
      </w:r>
      <w:r w:rsidR="00AB5B2C">
        <w:rPr>
          <w:rFonts w:ascii="Times New Roman" w:hAnsi="Times New Roman" w:cs="Times New Roman"/>
        </w:rPr>
        <w:t>seen</w:t>
      </w:r>
      <w:r w:rsidR="003F154F">
        <w:rPr>
          <w:rFonts w:ascii="Times New Roman" w:hAnsi="Times New Roman" w:cs="Times New Roman"/>
        </w:rPr>
        <w:t xml:space="preserve"> – and it will continue to be</w:t>
      </w:r>
      <w:r w:rsidR="0078497B">
        <w:rPr>
          <w:rFonts w:ascii="Times New Roman" w:hAnsi="Times New Roman" w:cs="Times New Roman"/>
        </w:rPr>
        <w:t xml:space="preserve"> so</w:t>
      </w:r>
      <w:r w:rsidR="003F154F">
        <w:rPr>
          <w:rFonts w:ascii="Times New Roman" w:hAnsi="Times New Roman" w:cs="Times New Roman"/>
        </w:rPr>
        <w:t xml:space="preserve"> for quite some time. Modifications to</w:t>
      </w:r>
      <w:r w:rsidR="00AB5B2C">
        <w:rPr>
          <w:rFonts w:ascii="Times New Roman" w:hAnsi="Times New Roman" w:cs="Times New Roman"/>
        </w:rPr>
        <w:t xml:space="preserve"> copyright law may be one of the easier transitions </w:t>
      </w:r>
      <w:r w:rsidR="003F154F">
        <w:rPr>
          <w:rFonts w:ascii="Times New Roman" w:hAnsi="Times New Roman" w:cs="Times New Roman"/>
        </w:rPr>
        <w:t>the law will have to make.</w:t>
      </w:r>
    </w:p>
    <w:p w14:paraId="04FAD427" w14:textId="4677D909" w:rsidR="00AB5B2C" w:rsidRDefault="00AB5B2C" w:rsidP="005D13BF">
      <w:pPr>
        <w:rPr>
          <w:rFonts w:ascii="Times New Roman" w:hAnsi="Times New Roman" w:cs="Times New Roman"/>
        </w:rPr>
      </w:pPr>
      <w:r>
        <w:rPr>
          <w:rFonts w:ascii="Times New Roman" w:hAnsi="Times New Roman" w:cs="Times New Roman"/>
        </w:rPr>
        <w:lastRenderedPageBreak/>
        <w:t>I think we will see significant changes in the way data is collected, sourced, cleaned and collated. We will see changes in the way that models are trained. Issues in law are often assisted or solved by changes in technology. Some of these technological changes will solve today’s problems and some will cause tomorrow’s problems.</w:t>
      </w:r>
    </w:p>
    <w:p w14:paraId="0A59C9DA" w14:textId="665085E6" w:rsidR="000571BD" w:rsidRDefault="00AB5B2C" w:rsidP="005D13BF">
      <w:pPr>
        <w:rPr>
          <w:rFonts w:ascii="Times New Roman" w:hAnsi="Times New Roman" w:cs="Times New Roman"/>
        </w:rPr>
      </w:pPr>
      <w:r>
        <w:rPr>
          <w:rFonts w:ascii="Times New Roman" w:hAnsi="Times New Roman" w:cs="Times New Roman"/>
        </w:rPr>
        <w:t>Training of AI models will become an accepted fair use. It has to be.</w:t>
      </w:r>
      <w:r w:rsidR="000571BD">
        <w:rPr>
          <w:rFonts w:ascii="Times New Roman" w:hAnsi="Times New Roman" w:cs="Times New Roman"/>
        </w:rPr>
        <w:t xml:space="preserve"> AI is too </w:t>
      </w:r>
      <w:r w:rsidR="0078497B">
        <w:rPr>
          <w:rFonts w:ascii="Times New Roman" w:hAnsi="Times New Roman" w:cs="Times New Roman"/>
        </w:rPr>
        <w:t>powerful an innovation</w:t>
      </w:r>
      <w:r w:rsidR="000571BD">
        <w:rPr>
          <w:rFonts w:ascii="Times New Roman" w:hAnsi="Times New Roman" w:cs="Times New Roman"/>
        </w:rPr>
        <w:t xml:space="preserve"> to stop now. It is a societal game-changer and the law will find a way to </w:t>
      </w:r>
      <w:r w:rsidR="0078497B">
        <w:rPr>
          <w:rFonts w:ascii="Times New Roman" w:hAnsi="Times New Roman" w:cs="Times New Roman"/>
        </w:rPr>
        <w:t xml:space="preserve">intelligently and </w:t>
      </w:r>
      <w:r w:rsidR="000571BD">
        <w:rPr>
          <w:rFonts w:ascii="Times New Roman" w:hAnsi="Times New Roman" w:cs="Times New Roman"/>
        </w:rPr>
        <w:t xml:space="preserve">gracefully make the needed accommodations. The Constitutional edict to promote the progress of science and the useful arts is too </w:t>
      </w:r>
      <w:r w:rsidR="0078497B">
        <w:rPr>
          <w:rFonts w:ascii="Times New Roman" w:hAnsi="Times New Roman" w:cs="Times New Roman"/>
        </w:rPr>
        <w:t>strong</w:t>
      </w:r>
      <w:r w:rsidR="000571BD">
        <w:rPr>
          <w:rFonts w:ascii="Times New Roman" w:hAnsi="Times New Roman" w:cs="Times New Roman"/>
        </w:rPr>
        <w:t>.</w:t>
      </w:r>
    </w:p>
    <w:p w14:paraId="3457371B" w14:textId="4B18F0BD" w:rsidR="00243761" w:rsidRPr="005D13BF" w:rsidRDefault="000571BD" w:rsidP="005D13BF">
      <w:pPr>
        <w:rPr>
          <w:rFonts w:ascii="Times New Roman" w:hAnsi="Times New Roman" w:cs="Times New Roman"/>
        </w:rPr>
      </w:pPr>
      <w:r>
        <w:rPr>
          <w:rFonts w:ascii="Times New Roman" w:hAnsi="Times New Roman" w:cs="Times New Roman"/>
        </w:rPr>
        <w:t>A new copyright building block will evolve. It will permit the training of AI models with copyrighted works. Rules will develop for accessing or sourcing materials; a licensing scheme is likely. The idea-expression dichotomy will remain firm. The notion of originality will remain, but human authorship will necessarily become more accepting of machine contributions to human creativity</w:t>
      </w:r>
      <w:r w:rsidR="0078497B">
        <w:rPr>
          <w:rFonts w:ascii="Times New Roman" w:hAnsi="Times New Roman" w:cs="Times New Roman"/>
        </w:rPr>
        <w:t>. A</w:t>
      </w:r>
      <w:r>
        <w:rPr>
          <w:rFonts w:ascii="Times New Roman" w:hAnsi="Times New Roman" w:cs="Times New Roman"/>
        </w:rPr>
        <w:t xml:space="preserve">s AI </w:t>
      </w:r>
      <w:r w:rsidR="0078497B">
        <w:rPr>
          <w:rFonts w:ascii="Times New Roman" w:hAnsi="Times New Roman" w:cs="Times New Roman"/>
        </w:rPr>
        <w:t>becomes</w:t>
      </w:r>
      <w:r w:rsidR="003F154F">
        <w:rPr>
          <w:rFonts w:ascii="Times New Roman" w:hAnsi="Times New Roman" w:cs="Times New Roman"/>
        </w:rPr>
        <w:t xml:space="preserve"> accepted as</w:t>
      </w:r>
      <w:r>
        <w:rPr>
          <w:rFonts w:ascii="Times New Roman" w:hAnsi="Times New Roman" w:cs="Times New Roman"/>
        </w:rPr>
        <w:t xml:space="preserve"> merely another tool, humans will use it in creative ways and be able to claim authorship for th</w:t>
      </w:r>
      <w:r w:rsidR="0078497B">
        <w:rPr>
          <w:rFonts w:ascii="Times New Roman" w:hAnsi="Times New Roman" w:cs="Times New Roman"/>
        </w:rPr>
        <w:t>ose</w:t>
      </w:r>
      <w:r>
        <w:rPr>
          <w:rFonts w:ascii="Times New Roman" w:hAnsi="Times New Roman" w:cs="Times New Roman"/>
        </w:rPr>
        <w:t xml:space="preserve"> creative use</w:t>
      </w:r>
      <w:r w:rsidR="0078497B">
        <w:rPr>
          <w:rFonts w:ascii="Times New Roman" w:hAnsi="Times New Roman" w:cs="Times New Roman"/>
        </w:rPr>
        <w:t>s</w:t>
      </w:r>
      <w:r>
        <w:rPr>
          <w:rFonts w:ascii="Times New Roman" w:hAnsi="Times New Roman" w:cs="Times New Roman"/>
        </w:rPr>
        <w:t>. Substantial similarity will remain a solid building block</w:t>
      </w:r>
      <w:r w:rsidR="0078497B">
        <w:rPr>
          <w:rFonts w:ascii="Times New Roman" w:hAnsi="Times New Roman" w:cs="Times New Roman"/>
        </w:rPr>
        <w:t xml:space="preserve">, but </w:t>
      </w:r>
      <w:r w:rsidR="0082356E">
        <w:rPr>
          <w:rFonts w:ascii="Times New Roman" w:hAnsi="Times New Roman" w:cs="Times New Roman"/>
        </w:rPr>
        <w:t xml:space="preserve">new </w:t>
      </w:r>
      <w:r w:rsidR="0078497B">
        <w:rPr>
          <w:rFonts w:ascii="Times New Roman" w:hAnsi="Times New Roman" w:cs="Times New Roman"/>
        </w:rPr>
        <w:t xml:space="preserve">balancing </w:t>
      </w:r>
      <w:r w:rsidR="0082356E">
        <w:rPr>
          <w:rFonts w:ascii="Times New Roman" w:hAnsi="Times New Roman" w:cs="Times New Roman"/>
        </w:rPr>
        <w:t xml:space="preserve">tests </w:t>
      </w:r>
      <w:r w:rsidR="00CF7C95">
        <w:rPr>
          <w:rFonts w:ascii="Times New Roman" w:hAnsi="Times New Roman" w:cs="Times New Roman"/>
        </w:rPr>
        <w:t xml:space="preserve">will emerge as </w:t>
      </w:r>
      <w:r w:rsidR="0082356E">
        <w:rPr>
          <w:rFonts w:ascii="Times New Roman" w:hAnsi="Times New Roman" w:cs="Times New Roman"/>
        </w:rPr>
        <w:t xml:space="preserve">the sophistication of the technology increases. Image and music generation will be driving many of these changes with regard to substantial similarity. Right of publicity laws will have to change. A state by state approach with IP-like protection will not be able to co-exist with federal standards for copyright. First Amendment principles will shape </w:t>
      </w:r>
      <w:r w:rsidR="0078497B">
        <w:rPr>
          <w:rFonts w:ascii="Times New Roman" w:hAnsi="Times New Roman" w:cs="Times New Roman"/>
        </w:rPr>
        <w:t xml:space="preserve">some of </w:t>
      </w:r>
      <w:r w:rsidR="0082356E">
        <w:rPr>
          <w:rFonts w:ascii="Times New Roman" w:hAnsi="Times New Roman" w:cs="Times New Roman"/>
        </w:rPr>
        <w:t>those changes</w:t>
      </w:r>
      <w:r w:rsidR="00184B2C">
        <w:rPr>
          <w:rFonts w:ascii="Times New Roman" w:hAnsi="Times New Roman" w:cs="Times New Roman"/>
        </w:rPr>
        <w:t>.</w:t>
      </w:r>
      <w:r w:rsidR="0082356E">
        <w:rPr>
          <w:rFonts w:ascii="Times New Roman" w:hAnsi="Times New Roman" w:cs="Times New Roman"/>
        </w:rPr>
        <w:t xml:space="preserve">  </w:t>
      </w:r>
    </w:p>
    <w:p w14:paraId="3DC4C614" w14:textId="1B97D4AE" w:rsidR="003220D3" w:rsidRPr="005D13BF" w:rsidRDefault="004105C2" w:rsidP="005D13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66" w:name="_Toc220693087"/>
      <w:r w:rsidRPr="005D13BF">
        <w:rPr>
          <w:rFonts w:ascii="Times New Roman" w:eastAsia="Times New Roman" w:hAnsi="Times New Roman" w:cs="Times New Roman"/>
          <w:b/>
          <w:bCs/>
          <w:kern w:val="0"/>
          <w:sz w:val="36"/>
          <w:szCs w:val="36"/>
          <w14:ligatures w14:val="none"/>
        </w:rPr>
        <w:t>CONCLUSION</w:t>
      </w:r>
      <w:bookmarkEnd w:id="66"/>
      <w:r w:rsidRPr="005D13BF">
        <w:rPr>
          <w:rFonts w:ascii="Times New Roman" w:eastAsia="Times New Roman" w:hAnsi="Times New Roman" w:cs="Times New Roman"/>
          <w:b/>
          <w:bCs/>
          <w:kern w:val="0"/>
          <w:sz w:val="36"/>
          <w:szCs w:val="36"/>
          <w14:ligatures w14:val="none"/>
        </w:rPr>
        <w:t xml:space="preserve"> </w:t>
      </w:r>
      <w:bookmarkEnd w:id="61"/>
    </w:p>
    <w:p w14:paraId="668723E1" w14:textId="7FB89217" w:rsidR="003220D3" w:rsidRPr="005D13BF" w:rsidRDefault="00184B2C" w:rsidP="005D13BF">
      <w:pPr>
        <w:rPr>
          <w:rFonts w:ascii="Times New Roman" w:hAnsi="Times New Roman" w:cs="Times New Roman"/>
          <w:kern w:val="36"/>
          <w14:ligatures w14:val="none"/>
        </w:rPr>
      </w:pPr>
      <w:r>
        <w:rPr>
          <w:rFonts w:ascii="Times New Roman" w:hAnsi="Times New Roman" w:cs="Times New Roman"/>
          <w:kern w:val="36"/>
          <w14:ligatures w14:val="none"/>
        </w:rPr>
        <w:t xml:space="preserve">Copyright law is resilient. It has evolved greatly over the last 250 years. It will continue to evolve. Its building blocks will remain fairly constant. Inevitably, </w:t>
      </w:r>
      <w:r w:rsidR="00247329">
        <w:rPr>
          <w:rFonts w:ascii="Times New Roman" w:hAnsi="Times New Roman" w:cs="Times New Roman"/>
          <w:kern w:val="36"/>
          <w14:ligatures w14:val="none"/>
        </w:rPr>
        <w:t xml:space="preserve">the advancement of technology </w:t>
      </w:r>
      <w:r>
        <w:rPr>
          <w:rFonts w:ascii="Times New Roman" w:hAnsi="Times New Roman" w:cs="Times New Roman"/>
          <w:kern w:val="36"/>
          <w14:ligatures w14:val="none"/>
        </w:rPr>
        <w:t xml:space="preserve">will </w:t>
      </w:r>
      <w:r w:rsidR="00247329">
        <w:rPr>
          <w:rFonts w:ascii="Times New Roman" w:hAnsi="Times New Roman" w:cs="Times New Roman"/>
          <w:kern w:val="36"/>
          <w14:ligatures w14:val="none"/>
        </w:rPr>
        <w:t>require that</w:t>
      </w:r>
      <w:r>
        <w:rPr>
          <w:rFonts w:ascii="Times New Roman" w:hAnsi="Times New Roman" w:cs="Times New Roman"/>
          <w:kern w:val="36"/>
          <w14:ligatures w14:val="none"/>
        </w:rPr>
        <w:t xml:space="preserve"> modifications </w:t>
      </w:r>
      <w:r w:rsidR="00247329">
        <w:rPr>
          <w:rFonts w:ascii="Times New Roman" w:hAnsi="Times New Roman" w:cs="Times New Roman"/>
          <w:kern w:val="36"/>
          <w14:ligatures w14:val="none"/>
        </w:rPr>
        <w:t>be made to existing law</w:t>
      </w:r>
      <w:r>
        <w:rPr>
          <w:rFonts w:ascii="Times New Roman" w:hAnsi="Times New Roman" w:cs="Times New Roman"/>
          <w:kern w:val="36"/>
          <w14:ligatures w14:val="none"/>
        </w:rPr>
        <w:t>. But</w:t>
      </w:r>
      <w:r w:rsidR="00247329">
        <w:rPr>
          <w:rFonts w:ascii="Times New Roman" w:hAnsi="Times New Roman" w:cs="Times New Roman"/>
          <w:kern w:val="36"/>
          <w14:ligatures w14:val="none"/>
        </w:rPr>
        <w:t xml:space="preserve"> by and large,</w:t>
      </w:r>
      <w:r>
        <w:rPr>
          <w:rFonts w:ascii="Times New Roman" w:hAnsi="Times New Roman" w:cs="Times New Roman"/>
          <w:kern w:val="36"/>
          <w14:ligatures w14:val="none"/>
        </w:rPr>
        <w:t xml:space="preserve"> there will not be </w:t>
      </w:r>
      <w:r w:rsidR="00402637">
        <w:rPr>
          <w:rFonts w:ascii="Times New Roman" w:hAnsi="Times New Roman" w:cs="Times New Roman"/>
          <w:kern w:val="36"/>
          <w14:ligatures w14:val="none"/>
        </w:rPr>
        <w:t xml:space="preserve">many </w:t>
      </w:r>
      <w:r>
        <w:rPr>
          <w:rFonts w:ascii="Times New Roman" w:hAnsi="Times New Roman" w:cs="Times New Roman"/>
          <w:kern w:val="36"/>
          <w14:ligatures w14:val="none"/>
        </w:rPr>
        <w:t>brand-new, principle-altering changes. The changes will likely fit easily and logically into copyright’s existing frameworks. The sky is not falling. Yes, the world is changing, but there will still be a sky.</w:t>
      </w:r>
    </w:p>
    <w:p w14:paraId="73BB11A5" w14:textId="3C375A06" w:rsidR="00EA09A5" w:rsidRPr="005D13BF" w:rsidRDefault="00EA09A5" w:rsidP="005D13BF">
      <w:pPr>
        <w:rPr>
          <w:rFonts w:ascii="Times New Roman" w:hAnsi="Times New Roman" w:cs="Times New Roman"/>
          <w:kern w:val="36"/>
          <w14:ligatures w14:val="none"/>
        </w:rPr>
      </w:pPr>
      <w:r w:rsidRPr="005D13BF">
        <w:rPr>
          <w:rFonts w:ascii="Times New Roman" w:hAnsi="Times New Roman" w:cs="Times New Roman"/>
          <w:kern w:val="36"/>
          <w14:ligatures w14:val="none"/>
        </w:rPr>
        <w:t xml:space="preserve">Copyright has been one of the most taxed branches of </w:t>
      </w:r>
      <w:r w:rsidR="004C7881">
        <w:rPr>
          <w:rFonts w:ascii="Times New Roman" w:hAnsi="Times New Roman" w:cs="Times New Roman"/>
          <w:kern w:val="36"/>
          <w14:ligatures w14:val="none"/>
        </w:rPr>
        <w:t xml:space="preserve">the </w:t>
      </w:r>
      <w:r w:rsidRPr="005D13BF">
        <w:rPr>
          <w:rFonts w:ascii="Times New Roman" w:hAnsi="Times New Roman" w:cs="Times New Roman"/>
          <w:kern w:val="36"/>
          <w14:ligatures w14:val="none"/>
        </w:rPr>
        <w:t>law</w:t>
      </w:r>
      <w:r w:rsidR="00CF7C95">
        <w:rPr>
          <w:rFonts w:ascii="Times New Roman" w:hAnsi="Times New Roman" w:cs="Times New Roman"/>
          <w:kern w:val="36"/>
          <w14:ligatures w14:val="none"/>
        </w:rPr>
        <w:t xml:space="preserve"> when it comes to new technology</w:t>
      </w:r>
      <w:r w:rsidRPr="005D13BF">
        <w:rPr>
          <w:rFonts w:ascii="Times New Roman" w:hAnsi="Times New Roman" w:cs="Times New Roman"/>
          <w:kern w:val="36"/>
          <w14:ligatures w14:val="none"/>
        </w:rPr>
        <w:t>. One of the themes of this article is that copyright has been, continues to be, and will be</w:t>
      </w:r>
      <w:r w:rsidR="0082781A">
        <w:rPr>
          <w:rFonts w:ascii="Times New Roman" w:hAnsi="Times New Roman" w:cs="Times New Roman"/>
          <w:kern w:val="36"/>
          <w14:ligatures w14:val="none"/>
        </w:rPr>
        <w:t>,</w:t>
      </w:r>
      <w:r w:rsidRPr="005D13BF">
        <w:rPr>
          <w:rFonts w:ascii="Times New Roman" w:hAnsi="Times New Roman" w:cs="Times New Roman"/>
          <w:kern w:val="36"/>
          <w14:ligatures w14:val="none"/>
        </w:rPr>
        <w:t xml:space="preserve"> resilient enough to change with the technologies and values of the day. The basic building blocks of copyright have existed for a</w:t>
      </w:r>
      <w:r w:rsidR="00C35C58" w:rsidRPr="005D13BF">
        <w:rPr>
          <w:rFonts w:ascii="Times New Roman" w:hAnsi="Times New Roman" w:cs="Times New Roman"/>
          <w:kern w:val="36"/>
          <w14:ligatures w14:val="none"/>
        </w:rPr>
        <w:t xml:space="preserve"> </w:t>
      </w:r>
      <w:r w:rsidRPr="005D13BF">
        <w:rPr>
          <w:rFonts w:ascii="Times New Roman" w:hAnsi="Times New Roman" w:cs="Times New Roman"/>
          <w:kern w:val="36"/>
          <w14:ligatures w14:val="none"/>
        </w:rPr>
        <w:t>long t</w:t>
      </w:r>
      <w:r w:rsidR="00C35C58" w:rsidRPr="005D13BF">
        <w:rPr>
          <w:rFonts w:ascii="Times New Roman" w:hAnsi="Times New Roman" w:cs="Times New Roman"/>
          <w:kern w:val="36"/>
          <w14:ligatures w14:val="none"/>
        </w:rPr>
        <w:t>i</w:t>
      </w:r>
      <w:r w:rsidRPr="005D13BF">
        <w:rPr>
          <w:rFonts w:ascii="Times New Roman" w:hAnsi="Times New Roman" w:cs="Times New Roman"/>
          <w:kern w:val="36"/>
          <w14:ligatures w14:val="none"/>
        </w:rPr>
        <w:t xml:space="preserve">me and </w:t>
      </w:r>
      <w:r w:rsidR="00C35C58" w:rsidRPr="005D13BF">
        <w:rPr>
          <w:rFonts w:ascii="Times New Roman" w:hAnsi="Times New Roman" w:cs="Times New Roman"/>
          <w:kern w:val="36"/>
          <w14:ligatures w14:val="none"/>
        </w:rPr>
        <w:t xml:space="preserve">have </w:t>
      </w:r>
      <w:r w:rsidRPr="005D13BF">
        <w:rPr>
          <w:rFonts w:ascii="Times New Roman" w:hAnsi="Times New Roman" w:cs="Times New Roman"/>
          <w:kern w:val="36"/>
          <w14:ligatures w14:val="none"/>
        </w:rPr>
        <w:t xml:space="preserve">evolved </w:t>
      </w:r>
      <w:r w:rsidR="00C35C58" w:rsidRPr="005D13BF">
        <w:rPr>
          <w:rFonts w:ascii="Times New Roman" w:hAnsi="Times New Roman" w:cs="Times New Roman"/>
          <w:kern w:val="36"/>
          <w14:ligatures w14:val="none"/>
        </w:rPr>
        <w:t>when necessary</w:t>
      </w:r>
      <w:r w:rsidRPr="005D13BF">
        <w:rPr>
          <w:rFonts w:ascii="Times New Roman" w:hAnsi="Times New Roman" w:cs="Times New Roman"/>
          <w:kern w:val="36"/>
          <w14:ligatures w14:val="none"/>
        </w:rPr>
        <w:t xml:space="preserve">. </w:t>
      </w:r>
      <w:r w:rsidR="00C35C58" w:rsidRPr="005D13BF">
        <w:rPr>
          <w:rFonts w:ascii="Times New Roman" w:hAnsi="Times New Roman" w:cs="Times New Roman"/>
          <w:kern w:val="36"/>
          <w14:ligatures w14:val="none"/>
        </w:rPr>
        <w:t>New building blocks deve</w:t>
      </w:r>
      <w:r w:rsidRPr="005D13BF">
        <w:rPr>
          <w:rFonts w:ascii="Times New Roman" w:hAnsi="Times New Roman" w:cs="Times New Roman"/>
          <w:kern w:val="36"/>
          <w14:ligatures w14:val="none"/>
        </w:rPr>
        <w:t>lop</w:t>
      </w:r>
      <w:r w:rsidR="00C35C58" w:rsidRPr="005D13BF">
        <w:rPr>
          <w:rFonts w:ascii="Times New Roman" w:hAnsi="Times New Roman" w:cs="Times New Roman"/>
          <w:kern w:val="36"/>
          <w14:ligatures w14:val="none"/>
        </w:rPr>
        <w:t xml:space="preserve"> when needed</w:t>
      </w:r>
      <w:r w:rsidRPr="005D13BF">
        <w:rPr>
          <w:rFonts w:ascii="Times New Roman" w:hAnsi="Times New Roman" w:cs="Times New Roman"/>
          <w:kern w:val="36"/>
          <w14:ligatures w14:val="none"/>
        </w:rPr>
        <w:t xml:space="preserve">. </w:t>
      </w:r>
      <w:r w:rsidR="00184B2C">
        <w:rPr>
          <w:rFonts w:ascii="Times New Roman" w:hAnsi="Times New Roman" w:cs="Times New Roman"/>
          <w:kern w:val="36"/>
          <w14:ligatures w14:val="none"/>
        </w:rPr>
        <w:t xml:space="preserve">Another theme of this article is that the more things change, the more they remain the same. </w:t>
      </w:r>
      <w:r w:rsidRPr="005D13BF">
        <w:rPr>
          <w:rFonts w:ascii="Times New Roman" w:hAnsi="Times New Roman" w:cs="Times New Roman"/>
          <w:kern w:val="36"/>
          <w14:ligatures w14:val="none"/>
        </w:rPr>
        <w:t>We are now at one of the biggest junctures in</w:t>
      </w:r>
      <w:r w:rsidR="00C35C58" w:rsidRPr="005D13BF">
        <w:rPr>
          <w:rFonts w:ascii="Times New Roman" w:hAnsi="Times New Roman" w:cs="Times New Roman"/>
          <w:kern w:val="36"/>
          <w14:ligatures w14:val="none"/>
        </w:rPr>
        <w:t xml:space="preserve"> the history of law and technology. </w:t>
      </w:r>
      <w:r w:rsidR="00184B2C">
        <w:rPr>
          <w:rFonts w:ascii="Times New Roman" w:hAnsi="Times New Roman" w:cs="Times New Roman"/>
          <w:kern w:val="36"/>
          <w14:ligatures w14:val="none"/>
        </w:rPr>
        <w:t xml:space="preserve">Yes, there </w:t>
      </w:r>
      <w:r w:rsidR="00DC742F">
        <w:rPr>
          <w:rFonts w:ascii="Times New Roman" w:hAnsi="Times New Roman" w:cs="Times New Roman"/>
          <w:kern w:val="36"/>
          <w14:ligatures w14:val="none"/>
        </w:rPr>
        <w:t xml:space="preserve">are a lot of changes occurring, </w:t>
      </w:r>
      <w:r w:rsidR="00184B2C">
        <w:rPr>
          <w:rFonts w:ascii="Times New Roman" w:hAnsi="Times New Roman" w:cs="Times New Roman"/>
          <w:kern w:val="36"/>
          <w14:ligatures w14:val="none"/>
        </w:rPr>
        <w:t xml:space="preserve">but the basic legal principles are flexible enough to adapt. </w:t>
      </w:r>
      <w:r w:rsidR="00C35C58" w:rsidRPr="005D13BF">
        <w:rPr>
          <w:rFonts w:ascii="Times New Roman" w:hAnsi="Times New Roman" w:cs="Times New Roman"/>
          <w:kern w:val="36"/>
          <w14:ligatures w14:val="none"/>
        </w:rPr>
        <w:t>We live in exciting times. We are lucky to watch the law adapt and evolve.</w:t>
      </w:r>
      <w:bookmarkEnd w:id="1"/>
    </w:p>
    <w:sectPr w:rsidR="00EA09A5" w:rsidRPr="005D13BF">
      <w:footerReference w:type="default" r:id="rId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375D9" w14:textId="77777777" w:rsidR="004B0AF1" w:rsidRDefault="004B0AF1" w:rsidP="009626F4">
      <w:pPr>
        <w:spacing w:after="0" w:line="240" w:lineRule="auto"/>
      </w:pPr>
      <w:r>
        <w:separator/>
      </w:r>
    </w:p>
  </w:endnote>
  <w:endnote w:type="continuationSeparator" w:id="0">
    <w:p w14:paraId="7B7AA67A" w14:textId="77777777" w:rsidR="004B0AF1" w:rsidRDefault="004B0AF1" w:rsidP="0096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945508"/>
      <w:docPartObj>
        <w:docPartGallery w:val="Page Numbers (Bottom of Page)"/>
        <w:docPartUnique/>
      </w:docPartObj>
    </w:sdtPr>
    <w:sdtEndPr>
      <w:rPr>
        <w:noProof/>
      </w:rPr>
    </w:sdtEndPr>
    <w:sdtContent>
      <w:p w14:paraId="5C6BD924" w14:textId="403F8981" w:rsidR="00101059" w:rsidRDefault="001010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45262" w14:textId="77777777" w:rsidR="00101059" w:rsidRDefault="0010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59A8D" w14:textId="77777777" w:rsidR="004B0AF1" w:rsidRDefault="004B0AF1" w:rsidP="009626F4">
      <w:pPr>
        <w:spacing w:after="0" w:line="240" w:lineRule="auto"/>
      </w:pPr>
      <w:r>
        <w:separator/>
      </w:r>
    </w:p>
  </w:footnote>
  <w:footnote w:type="continuationSeparator" w:id="0">
    <w:p w14:paraId="49CC328E" w14:textId="77777777" w:rsidR="004B0AF1" w:rsidRDefault="004B0AF1" w:rsidP="009626F4">
      <w:pPr>
        <w:spacing w:after="0" w:line="240" w:lineRule="auto"/>
      </w:pPr>
      <w:r>
        <w:continuationSeparator/>
      </w:r>
    </w:p>
  </w:footnote>
  <w:footnote w:id="1">
    <w:p w14:paraId="097D8ED6" w14:textId="7B4121A5" w:rsidR="00054F4D" w:rsidRDefault="00054F4D" w:rsidP="00054F4D">
      <w:pPr>
        <w:pStyle w:val="FootnoteText"/>
      </w:pPr>
      <w:r>
        <w:t>*</w:t>
      </w:r>
      <w:r w:rsidRPr="00256E53">
        <w:t xml:space="preserve"> </w:t>
      </w:r>
      <w:r w:rsidRPr="00054F4D">
        <w:t>Ernest L. Baskin, Jr. Distinguished Professor of</w:t>
      </w:r>
      <w:r>
        <w:t xml:space="preserve"> </w:t>
      </w:r>
      <w:r w:rsidRPr="00054F4D">
        <w:t>Computer Science and Law, Stetson-Hatcher</w:t>
      </w:r>
      <w:r>
        <w:t xml:space="preserve"> </w:t>
      </w:r>
      <w:r w:rsidRPr="00054F4D">
        <w:t>School of Business, Mercer University, Atlanta,</w:t>
      </w:r>
      <w:r>
        <w:t xml:space="preserve"> </w:t>
      </w:r>
      <w:r w:rsidRPr="00054F4D">
        <w:t>Georgia, USA</w:t>
      </w:r>
      <w:r>
        <w:t>.</w:t>
      </w:r>
    </w:p>
    <w:p w14:paraId="2CF01723" w14:textId="2EF85FBD" w:rsidR="00101059" w:rsidRPr="00256E53" w:rsidRDefault="00101059" w:rsidP="00256E53">
      <w:pPr>
        <w:pStyle w:val="FootnoteText"/>
      </w:pPr>
      <w:r w:rsidRPr="00256E53">
        <w:rPr>
          <w:rStyle w:val="FootnoteReference"/>
          <w:i/>
          <w:iCs/>
        </w:rPr>
        <w:footnoteRef/>
      </w:r>
      <w:r w:rsidRPr="00256E53">
        <w:t xml:space="preserve"> In March 2023, the Copyright Office (“Office”) published changes in the process of applying for a copyright containing any kind of AI-generated material. </w:t>
      </w:r>
      <w:r w:rsidRPr="00256E53">
        <w:rPr>
          <w:smallCaps/>
        </w:rPr>
        <w:t>U.S. Copyright Off.</w:t>
      </w:r>
      <w:r w:rsidRPr="00256E53">
        <w:t xml:space="preserve">, Copyright Registration Guidance: Works Containing Material Generated by Artificial Intelligence, 88 Fed. Reg. 16190-94 (Mar. 16, 2023) [hereinafter </w:t>
      </w:r>
      <w:r w:rsidRPr="00256E53">
        <w:rPr>
          <w:i/>
          <w:iCs/>
        </w:rPr>
        <w:t>Copyright Registration Guidance</w:t>
      </w:r>
      <w:r w:rsidRPr="00256E53">
        <w:t xml:space="preserve">]. In August 2023, the Office published a Notice of Inquiry, posing a series of questions about copyright and artificial intelligence (“AI”). Artificial Intelligence Study: Notice of Inquiry, 88 Fed Reg. 59942, 59948-49 (Aug. 30, 2023) [hereinafter </w:t>
      </w:r>
      <w:r w:rsidRPr="00256E53">
        <w:rPr>
          <w:i/>
          <w:iCs/>
        </w:rPr>
        <w:t>NOI</w:t>
      </w:r>
      <w:r w:rsidRPr="00256E53">
        <w:t xml:space="preserve">]. In July 2024, it published </w:t>
      </w:r>
      <w:r w:rsidRPr="00256E53">
        <w:rPr>
          <w:rFonts w:eastAsia="Times New Roman"/>
          <w:smallCaps/>
        </w:rPr>
        <w:t>U.S. Copyright Off.</w:t>
      </w:r>
      <w:r w:rsidRPr="00256E53">
        <w:rPr>
          <w:rFonts w:eastAsia="Times New Roman"/>
        </w:rPr>
        <w:t xml:space="preserve">, </w:t>
      </w:r>
      <w:r w:rsidRPr="00256E53">
        <w:rPr>
          <w:rFonts w:eastAsia="Times New Roman"/>
          <w:smallCaps/>
        </w:rPr>
        <w:t xml:space="preserve">Copyright and Artificial Intelligence: Part </w:t>
      </w:r>
      <w:r>
        <w:rPr>
          <w:rFonts w:eastAsia="Times New Roman"/>
          <w:smallCaps/>
        </w:rPr>
        <w:t>1</w:t>
      </w:r>
      <w:r w:rsidRPr="00256E53">
        <w:rPr>
          <w:rFonts w:eastAsia="Times New Roman"/>
          <w:smallCaps/>
        </w:rPr>
        <w:t>—Digital Replicas</w:t>
      </w:r>
      <w:r w:rsidRPr="00256E53">
        <w:rPr>
          <w:rFonts w:eastAsia="Times New Roman"/>
        </w:rPr>
        <w:t xml:space="preserve"> (Jul. 2024) [hereinafter </w:t>
      </w:r>
      <w:r w:rsidRPr="00256E53">
        <w:rPr>
          <w:rFonts w:eastAsia="Times New Roman"/>
          <w:i/>
          <w:iCs/>
        </w:rPr>
        <w:t xml:space="preserve">Copyright Office: Part 1]. </w:t>
      </w:r>
      <w:r w:rsidRPr="00256E53">
        <w:rPr>
          <w:rFonts w:eastAsia="Times New Roman"/>
        </w:rPr>
        <w:t xml:space="preserve">In January 2025, it published </w:t>
      </w:r>
      <w:r w:rsidRPr="00256E53">
        <w:rPr>
          <w:rFonts w:eastAsia="Times New Roman"/>
          <w:smallCaps/>
        </w:rPr>
        <w:t>U.S. Copyright Off.</w:t>
      </w:r>
      <w:r w:rsidRPr="00256E53">
        <w:rPr>
          <w:rFonts w:eastAsia="Times New Roman"/>
        </w:rPr>
        <w:t xml:space="preserve">, </w:t>
      </w:r>
      <w:r w:rsidRPr="00256E53">
        <w:rPr>
          <w:rFonts w:eastAsia="Times New Roman"/>
          <w:smallCaps/>
        </w:rPr>
        <w:t xml:space="preserve">Copyright and Artificial Intelligence: Part </w:t>
      </w:r>
      <w:r>
        <w:rPr>
          <w:rFonts w:eastAsia="Times New Roman"/>
          <w:smallCaps/>
        </w:rPr>
        <w:t>2</w:t>
      </w:r>
      <w:r w:rsidRPr="00256E53">
        <w:rPr>
          <w:rFonts w:eastAsia="Times New Roman"/>
          <w:smallCaps/>
        </w:rPr>
        <w:t>—Copyrightability (</w:t>
      </w:r>
      <w:r w:rsidRPr="00256E53">
        <w:rPr>
          <w:rFonts w:eastAsia="Times New Roman"/>
        </w:rPr>
        <w:t>Jan</w:t>
      </w:r>
      <w:r w:rsidRPr="00256E53">
        <w:rPr>
          <w:rFonts w:eastAsia="Times New Roman"/>
          <w:smallCaps/>
        </w:rPr>
        <w:t>. 2025) (</w:t>
      </w:r>
      <w:r w:rsidRPr="00256E53">
        <w:rPr>
          <w:rFonts w:eastAsia="Times New Roman"/>
        </w:rPr>
        <w:t xml:space="preserve">hereinafter </w:t>
      </w:r>
      <w:r w:rsidRPr="00256E53">
        <w:rPr>
          <w:rFonts w:eastAsia="Times New Roman"/>
          <w:i/>
          <w:iCs/>
        </w:rPr>
        <w:t>Copyright Office: Part 2</w:t>
      </w:r>
      <w:r w:rsidRPr="00256E53">
        <w:rPr>
          <w:rFonts w:eastAsia="Times New Roman"/>
        </w:rPr>
        <w:t xml:space="preserve">]. And in July 2025, it published </w:t>
      </w:r>
      <w:r w:rsidRPr="00256E53">
        <w:rPr>
          <w:rFonts w:eastAsia="Times New Roman"/>
          <w:smallCaps/>
        </w:rPr>
        <w:t>U.S. Copyright Off.</w:t>
      </w:r>
      <w:r w:rsidRPr="00256E53">
        <w:rPr>
          <w:rFonts w:eastAsia="Times New Roman"/>
        </w:rPr>
        <w:t xml:space="preserve">, </w:t>
      </w:r>
      <w:r w:rsidRPr="00256E53">
        <w:rPr>
          <w:rFonts w:eastAsia="Times New Roman"/>
          <w:smallCaps/>
        </w:rPr>
        <w:t xml:space="preserve">Copyright and Artificial Intelligence: Part </w:t>
      </w:r>
      <w:r>
        <w:rPr>
          <w:rFonts w:eastAsia="Times New Roman"/>
          <w:smallCaps/>
        </w:rPr>
        <w:t>3</w:t>
      </w:r>
      <w:r w:rsidRPr="00256E53">
        <w:rPr>
          <w:rFonts w:eastAsia="Times New Roman"/>
          <w:smallCaps/>
        </w:rPr>
        <w:t>—Generative AI Training (</w:t>
      </w:r>
      <w:r w:rsidRPr="00256E53">
        <w:rPr>
          <w:rFonts w:eastAsia="Times New Roman"/>
        </w:rPr>
        <w:t>Jul</w:t>
      </w:r>
      <w:r w:rsidRPr="00256E53">
        <w:rPr>
          <w:rFonts w:eastAsia="Times New Roman"/>
          <w:smallCaps/>
        </w:rPr>
        <w:t>. 2025) (</w:t>
      </w:r>
      <w:r w:rsidRPr="00256E53">
        <w:rPr>
          <w:rFonts w:eastAsia="Times New Roman"/>
        </w:rPr>
        <w:t xml:space="preserve">hereinafter </w:t>
      </w:r>
      <w:r w:rsidRPr="00256E53">
        <w:rPr>
          <w:rFonts w:eastAsia="Times New Roman"/>
          <w:i/>
          <w:iCs/>
        </w:rPr>
        <w:t>Copyright Office: Part 3</w:t>
      </w:r>
      <w:r w:rsidRPr="00256E53">
        <w:rPr>
          <w:rFonts w:eastAsia="Times New Roman"/>
        </w:rPr>
        <w:t xml:space="preserve">]. In Copyright Office, Part 2, the Office set forth several conclusions and recommendations, based on its analysis of copyright law and policy, and reflective of comments it received in response to its </w:t>
      </w:r>
      <w:r w:rsidRPr="00256E53">
        <w:rPr>
          <w:rFonts w:eastAsia="Times New Roman"/>
          <w:i/>
          <w:iCs/>
        </w:rPr>
        <w:t>NOI</w:t>
      </w:r>
      <w:r w:rsidRPr="00256E53">
        <w:rPr>
          <w:rFonts w:eastAsia="Times New Roman"/>
        </w:rPr>
        <w:t>:</w:t>
      </w:r>
    </w:p>
    <w:p w14:paraId="11B4732F" w14:textId="77777777" w:rsidR="00101059" w:rsidRPr="0057024A" w:rsidRDefault="00101059" w:rsidP="00256E53">
      <w:pPr>
        <w:pStyle w:val="FootnoteText"/>
      </w:pPr>
      <w:r w:rsidRPr="0057024A">
        <w:t>(1) Questions of copyrightability and AI can be resolved pursuant to existing law, without the need for legislative change;</w:t>
      </w:r>
    </w:p>
    <w:p w14:paraId="52B380E7" w14:textId="77777777" w:rsidR="00101059" w:rsidRPr="0057024A" w:rsidRDefault="00101059" w:rsidP="00256E53">
      <w:pPr>
        <w:pStyle w:val="FootnoteText"/>
      </w:pPr>
      <w:r w:rsidRPr="0057024A">
        <w:t>(2) The use of AI tools to assist rather than stand in for human creativity does not affect the availability of copyright protection for the output;</w:t>
      </w:r>
    </w:p>
    <w:p w14:paraId="4B650BEA" w14:textId="77777777" w:rsidR="00101059" w:rsidRPr="0057024A" w:rsidRDefault="00101059" w:rsidP="00256E53">
      <w:pPr>
        <w:pStyle w:val="FootnoteText"/>
      </w:pPr>
      <w:r w:rsidRPr="0057024A">
        <w:t>(3) Copyright protects the original expression in a work created by a human author, even if the work also includes AI-generated material;</w:t>
      </w:r>
    </w:p>
    <w:p w14:paraId="7E86DC5B" w14:textId="77777777" w:rsidR="00101059" w:rsidRPr="0057024A" w:rsidRDefault="00101059" w:rsidP="00256E53">
      <w:pPr>
        <w:pStyle w:val="FootnoteText"/>
      </w:pPr>
      <w:r w:rsidRPr="0057024A">
        <w:t>(4) Copyright does not extend to purely AI-generated material, or material where there is insufficient human control over the expressive elements;</w:t>
      </w:r>
    </w:p>
    <w:p w14:paraId="16C092C9" w14:textId="77777777" w:rsidR="00101059" w:rsidRPr="0057024A" w:rsidRDefault="00101059" w:rsidP="00256E53">
      <w:pPr>
        <w:pStyle w:val="FootnoteText"/>
      </w:pPr>
      <w:r w:rsidRPr="0057024A">
        <w:t>(5) Whether human contributions to AI-generated outputs are sufficient to constitute authorship must be analyzed on a case-by-case basis;</w:t>
      </w:r>
    </w:p>
    <w:p w14:paraId="74CBE915" w14:textId="77777777" w:rsidR="00101059" w:rsidRPr="0057024A" w:rsidRDefault="00101059" w:rsidP="00256E53">
      <w:pPr>
        <w:pStyle w:val="FootnoteText"/>
      </w:pPr>
      <w:r w:rsidRPr="0057024A">
        <w:t>(6) Based on the functioning of current generally available technology, prompts alone do not provide sufficient control;</w:t>
      </w:r>
    </w:p>
    <w:p w14:paraId="4DB9B015" w14:textId="77777777" w:rsidR="00101059" w:rsidRPr="0057024A" w:rsidRDefault="00101059" w:rsidP="00256E53">
      <w:pPr>
        <w:pStyle w:val="FootnoteText"/>
      </w:pPr>
      <w:r w:rsidRPr="0057024A">
        <w:t>(7) Human authors are entitled to copyright in their works of authorship that are perceptible in AI-generated outputs, as well as in the creative selection, coordination, or arrangement of material in the outputs, or creative modifications of the outputs; and</w:t>
      </w:r>
    </w:p>
    <w:p w14:paraId="552D74C8" w14:textId="7291C850" w:rsidR="00101059" w:rsidRPr="0057024A" w:rsidRDefault="00101059" w:rsidP="00256E53">
      <w:pPr>
        <w:pStyle w:val="FootnoteText"/>
      </w:pPr>
      <w:r w:rsidRPr="0057024A">
        <w:t xml:space="preserve">(8) The case has not been made for additional copyright or sui generis protection for AI-generated content. Copyright Office, Part 2, </w:t>
      </w:r>
      <w:r w:rsidRPr="00A83C40">
        <w:rPr>
          <w:i/>
          <w:iCs/>
        </w:rPr>
        <w:t xml:space="preserve">supra </w:t>
      </w:r>
      <w:r w:rsidRPr="0057024A">
        <w:t>at iii.</w:t>
      </w:r>
    </w:p>
    <w:p w14:paraId="631E56EC" w14:textId="405DF654" w:rsidR="00101059" w:rsidRPr="0057024A" w:rsidRDefault="00101059" w:rsidP="00256E53">
      <w:pPr>
        <w:pStyle w:val="FootnoteText"/>
      </w:pPr>
      <w:r w:rsidRPr="0057024A">
        <w:t xml:space="preserve">For an excellent and detailed discussion about how generative-AI works, </w:t>
      </w:r>
      <w:r w:rsidRPr="00870275">
        <w:rPr>
          <w:i/>
          <w:iCs/>
        </w:rPr>
        <w:t>see</w:t>
      </w:r>
      <w:r w:rsidRPr="0057024A">
        <w:t xml:space="preserve"> Katherine Lee, A. Feder Cooper and James Grimmelmann, Talkin’ ‘</w:t>
      </w:r>
      <w:r w:rsidRPr="00A83C40">
        <w:t>Bout AI Generation: Copyright and the Generative-AI Supply Chain</w:t>
      </w:r>
      <w:r w:rsidRPr="0057024A">
        <w:t xml:space="preserve">, 72 </w:t>
      </w:r>
      <w:r w:rsidRPr="0057024A">
        <w:rPr>
          <w:smallCaps/>
        </w:rPr>
        <w:t>J. Copyright Soc’y</w:t>
      </w:r>
      <w:r w:rsidRPr="0057024A">
        <w:t xml:space="preserve"> 251, 255-307 (2025).</w:t>
      </w:r>
    </w:p>
  </w:footnote>
  <w:footnote w:id="2">
    <w:p w14:paraId="67BCC9FC" w14:textId="648ECC9C" w:rsidR="00101059" w:rsidRPr="0057024A" w:rsidRDefault="00101059" w:rsidP="00256E53">
      <w:pPr>
        <w:pStyle w:val="FootnoteText"/>
      </w:pPr>
      <w:r w:rsidRPr="0057024A">
        <w:rPr>
          <w:rStyle w:val="FootnoteReference"/>
        </w:rPr>
        <w:footnoteRef/>
      </w:r>
      <w:r w:rsidRPr="0057024A">
        <w:t xml:space="preserve"> Jordan M. Blanke, </w:t>
      </w:r>
      <w:r w:rsidRPr="00A83C40">
        <w:t>No Doubt About It – You’ve Got to Have Hart: Simulation Video Games May Redefine the Balance Between and Among the Right of Publicity, the First Amendment, and Copyright Law</w:t>
      </w:r>
      <w:r w:rsidRPr="0057024A">
        <w:t xml:space="preserve">, 19 </w:t>
      </w:r>
      <w:r w:rsidRPr="0057024A">
        <w:rPr>
          <w:smallCaps/>
        </w:rPr>
        <w:t>B.U. J. Sci. &amp; Tech. L.</w:t>
      </w:r>
      <w:r w:rsidRPr="0057024A">
        <w:t xml:space="preserve"> 26 (2013)</w:t>
      </w:r>
      <w:r w:rsidR="00802126">
        <w:t xml:space="preserve">; </w:t>
      </w:r>
      <w:r w:rsidR="00802126">
        <w:rPr>
          <w:i/>
          <w:iCs/>
        </w:rPr>
        <w:t>s</w:t>
      </w:r>
      <w:r w:rsidRPr="00870275">
        <w:rPr>
          <w:i/>
          <w:iCs/>
        </w:rPr>
        <w:t>ee</w:t>
      </w:r>
      <w:r w:rsidRPr="0057024A">
        <w:t xml:space="preserve"> </w:t>
      </w:r>
      <w:r w:rsidRPr="00870275">
        <w:rPr>
          <w:i/>
          <w:iCs/>
        </w:rPr>
        <w:t>also</w:t>
      </w:r>
      <w:r w:rsidRPr="0057024A">
        <w:t xml:space="preserve"> L</w:t>
      </w:r>
      <w:r>
        <w:t xml:space="preserve">. </w:t>
      </w:r>
      <w:r w:rsidRPr="0057024A">
        <w:t xml:space="preserve">Ray Patterson’s classic, L. Ray Patterson, </w:t>
      </w:r>
      <w:r w:rsidRPr="00A83C40">
        <w:t>Free Speech Copyright, and Fair Use</w:t>
      </w:r>
      <w:r w:rsidRPr="0057024A">
        <w:t xml:space="preserve">, 40 </w:t>
      </w:r>
      <w:r w:rsidRPr="0057024A">
        <w:rPr>
          <w:smallCaps/>
        </w:rPr>
        <w:t>Vand L. Rev.</w:t>
      </w:r>
      <w:r w:rsidRPr="0057024A">
        <w:t xml:space="preserve"> 1 (1987) (exploring the history of the copyright clause, free speech, and fair use).</w:t>
      </w:r>
    </w:p>
  </w:footnote>
  <w:footnote w:id="3">
    <w:p w14:paraId="43A5891F" w14:textId="7BED74C9"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w:t>
      </w:r>
      <w:r w:rsidRPr="0081171F">
        <w:rPr>
          <w:i/>
          <w:iCs/>
        </w:rPr>
        <w:t>generally</w:t>
      </w:r>
      <w:r w:rsidRPr="0057024A">
        <w:t xml:space="preserve"> Baker v. Selden, 101 U.S. 99 (1879); Feist Publ’ns, Inc. v. Rural Tel. Serv. Co., 499 U.S. 340 (1991); Atari, Inc. v. N. Am. Philips Consumer Elecs. Corp., 672 F.2d 607 (7th Cir. 1982); Campbell v. Acuff-Rose Music, Inc., 510 U.S. 569 (1994); Kirby v. Sega of Am., Inc., 144 Cal. App. 4th 47 (2006); </w:t>
      </w:r>
      <w:bookmarkStart w:id="2" w:name="_Hlk219650925"/>
      <w:r w:rsidRPr="0057024A">
        <w:t>Comedy III Prods., Inc. v. Gary Saderup, Inc.</w:t>
      </w:r>
      <w:bookmarkEnd w:id="2"/>
      <w:r w:rsidRPr="0057024A">
        <w:t xml:space="preserve">, 25 Cal. 4th 387 (2001); No Doubt v. Activision Publ’g, Inc., 192 Cal. App. 4th 1018 (2011); Andy Warhol Found. for the Visual Arts, Inc. v. Goldsmith, 598 U.S. 508 (2023); Burrow-Giles Lithographic Co. v. Sarony, 111 U.S. 53 (1884); Naruto v. Slater, 888 F.3d 418, 420–26 (9th Cir. 2018); Thaler v. Perlmutter, No. 22-1564, 2023 WL 5333236 (D.D.C. Mar. 18, 2025); Williams v. Gaye, 885 F.3d 1150 (9th Cir. 2018); Griffin v. Sheeran, No. 1:17-cv-05221 (PKC) (S.D.N.Y. May 4, 2023) (jury verdict); Structured Asset Sales, LLC v. Sheeran, 109 F.4th 13, 19–25 (2d Cir. 2024), cert. denied, 603 U.S. ___ (2025); </w:t>
      </w:r>
      <w:r w:rsidRPr="00684F08">
        <w:rPr>
          <w:i/>
        </w:rPr>
        <w:t>NOI</w:t>
      </w:r>
      <w:r w:rsidRPr="0057024A">
        <w:t xml:space="preserve">, </w:t>
      </w:r>
      <w:r w:rsidRPr="00A83C40">
        <w:rPr>
          <w:i/>
          <w:iCs/>
        </w:rPr>
        <w:t xml:space="preserve">supra </w:t>
      </w:r>
      <w:r w:rsidRPr="0057024A">
        <w:t xml:space="preserve">note 1; </w:t>
      </w:r>
      <w:r w:rsidRPr="00684F08">
        <w:rPr>
          <w:i/>
        </w:rPr>
        <w:t>Copyright Office: Part 1</w:t>
      </w:r>
      <w:r w:rsidRPr="0057024A">
        <w:t xml:space="preserve">, </w:t>
      </w:r>
      <w:r w:rsidRPr="00A83C40">
        <w:rPr>
          <w:i/>
          <w:iCs/>
        </w:rPr>
        <w:t xml:space="preserve">supra </w:t>
      </w:r>
      <w:r w:rsidRPr="0057024A">
        <w:t xml:space="preserve">note 1; </w:t>
      </w:r>
      <w:r w:rsidRPr="00684F08">
        <w:rPr>
          <w:i/>
        </w:rPr>
        <w:t>Copyright Office: Part 2</w:t>
      </w:r>
      <w:r w:rsidRPr="0057024A">
        <w:t xml:space="preserve">, </w:t>
      </w:r>
      <w:r w:rsidRPr="00A83C40">
        <w:rPr>
          <w:i/>
          <w:iCs/>
        </w:rPr>
        <w:t xml:space="preserve">supra </w:t>
      </w:r>
      <w:r w:rsidRPr="0057024A">
        <w:t xml:space="preserve">note 1; </w:t>
      </w:r>
      <w:r w:rsidRPr="00684F08">
        <w:rPr>
          <w:i/>
        </w:rPr>
        <w:t>Copyright Office: Part 3</w:t>
      </w:r>
      <w:r w:rsidRPr="0057024A">
        <w:t xml:space="preserve">, </w:t>
      </w:r>
      <w:r w:rsidRPr="00A83C40">
        <w:rPr>
          <w:i/>
          <w:iCs/>
        </w:rPr>
        <w:t xml:space="preserve">supra </w:t>
      </w:r>
      <w:r w:rsidRPr="0057024A">
        <w:t>note 1..</w:t>
      </w:r>
    </w:p>
  </w:footnote>
  <w:footnote w:id="4">
    <w:p w14:paraId="4BA5C609" w14:textId="60228875" w:rsidR="00101059" w:rsidRPr="0057024A" w:rsidRDefault="00101059" w:rsidP="00256E53">
      <w:pPr>
        <w:pStyle w:val="FootnoteText"/>
      </w:pPr>
      <w:r w:rsidRPr="0057024A">
        <w:rPr>
          <w:rStyle w:val="FootnoteReference"/>
        </w:rPr>
        <w:footnoteRef/>
      </w:r>
      <w:r w:rsidRPr="0057024A">
        <w:t xml:space="preserve"> Baker v. Selden, 101 U.S. 99 (1879) (drawing distinction between idea and expression and holding that a system of bookkeeping methods was not copyrightable).</w:t>
      </w:r>
    </w:p>
  </w:footnote>
  <w:footnote w:id="5">
    <w:p w14:paraId="5E935BFF" w14:textId="0909B6A5" w:rsidR="00101059" w:rsidRPr="0057024A" w:rsidRDefault="00101059" w:rsidP="00256E53">
      <w:pPr>
        <w:pStyle w:val="FootnoteText"/>
      </w:pPr>
      <w:r w:rsidRPr="0057024A">
        <w:rPr>
          <w:rStyle w:val="FootnoteReference"/>
        </w:rPr>
        <w:footnoteRef/>
      </w:r>
      <w:r w:rsidRPr="0057024A">
        <w:t xml:space="preserve"> </w:t>
      </w:r>
      <w:r w:rsidRPr="003A45BB">
        <w:rPr>
          <w:i/>
        </w:rPr>
        <w:t>Id</w:t>
      </w:r>
      <w:r w:rsidRPr="0057024A">
        <w:t>, at 102-04.</w:t>
      </w:r>
    </w:p>
  </w:footnote>
  <w:footnote w:id="6">
    <w:p w14:paraId="22DE7601" w14:textId="425C596F" w:rsidR="00101059" w:rsidRPr="0057024A" w:rsidRDefault="00101059" w:rsidP="00256E53">
      <w:pPr>
        <w:pStyle w:val="FootnoteText"/>
      </w:pPr>
      <w:r w:rsidRPr="0057024A">
        <w:rPr>
          <w:rStyle w:val="FootnoteReference"/>
        </w:rPr>
        <w:footnoteRef/>
      </w:r>
      <w:r w:rsidRPr="0057024A">
        <w:t xml:space="preserve"> Nichols v. Universal Pictures Corp., 45 F.2d 119, 121 (2d Cir. 1930) (Hand, J.) (holding that a movie did not infringe the copyright of a play despite many similarities; only the idea was copied, not the expression).</w:t>
      </w:r>
    </w:p>
  </w:footnote>
  <w:footnote w:id="7">
    <w:p w14:paraId="6B720016" w14:textId="49F8EBF0"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e.g., Apple Comput., Inc. v. Microsoft Corp., 35 F.3d 1435 (9th Cir. 1994) (providing only thin protection for largely functional GUI elements); Satava v. Lowry, 323 F.3d 805, 810 (9th Cir. 2003) (limiting protection where scènes à faire and ideas predominate).</w:t>
      </w:r>
    </w:p>
  </w:footnote>
  <w:footnote w:id="8">
    <w:p w14:paraId="7488B3E1" w14:textId="19705A41" w:rsidR="00101059" w:rsidRPr="0057024A" w:rsidRDefault="00101059" w:rsidP="00256E53">
      <w:pPr>
        <w:pStyle w:val="FootnoteText"/>
      </w:pPr>
      <w:r w:rsidRPr="0057024A">
        <w:rPr>
          <w:rStyle w:val="FootnoteReference"/>
        </w:rPr>
        <w:footnoteRef/>
      </w:r>
      <w:r w:rsidRPr="0057024A">
        <w:t xml:space="preserve"> </w:t>
      </w:r>
      <w:bookmarkStart w:id="7" w:name="_Hlk218689980"/>
      <w:r w:rsidRPr="0057024A">
        <w:t>Feist Publ’ns, Inc. v. Rural Tel. Serv. Co., 499 U.S. 340, 344-47 (1991)</w:t>
      </w:r>
      <w:bookmarkEnd w:id="7"/>
      <w:r w:rsidRPr="0057024A">
        <w:t xml:space="preserve"> (facts are not copyrightable), 346 (</w:t>
      </w:r>
      <w:r>
        <w:t>copyright requiring</w:t>
      </w:r>
      <w:r w:rsidRPr="0057024A">
        <w:t xml:space="preserve"> a “modicum of creativity”), 352–55 (rejecting </w:t>
      </w:r>
      <w:r>
        <w:t xml:space="preserve">the </w:t>
      </w:r>
      <w:r w:rsidRPr="0057024A">
        <w:t>“sweat of the brow”</w:t>
      </w:r>
      <w:r>
        <w:t xml:space="preserve"> doctrine</w:t>
      </w:r>
      <w:r w:rsidRPr="0057024A">
        <w:t xml:space="preserve">). </w:t>
      </w:r>
    </w:p>
  </w:footnote>
  <w:footnote w:id="9">
    <w:p w14:paraId="180CDB58" w14:textId="2AA8EBB1" w:rsidR="00101059" w:rsidRPr="0057024A" w:rsidRDefault="00101059" w:rsidP="00256E53">
      <w:pPr>
        <w:pStyle w:val="FootnoteText"/>
      </w:pPr>
      <w:r w:rsidRPr="0057024A">
        <w:rPr>
          <w:rStyle w:val="FootnoteReference"/>
        </w:rPr>
        <w:footnoteRef/>
      </w:r>
      <w:r w:rsidRPr="0057024A">
        <w:t xml:space="preserve"> </w:t>
      </w:r>
      <w:r>
        <w:rPr>
          <w:i/>
        </w:rPr>
        <w:t xml:space="preserve">Id. </w:t>
      </w:r>
      <w:r w:rsidRPr="0057024A">
        <w:rPr>
          <w:i/>
        </w:rPr>
        <w:t xml:space="preserve"> </w:t>
      </w:r>
      <w:r w:rsidRPr="0057024A">
        <w:t xml:space="preserve"> at 349.</w:t>
      </w:r>
    </w:p>
  </w:footnote>
  <w:footnote w:id="10">
    <w:p w14:paraId="7328D85E" w14:textId="6CD2EAC7"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Feist, 499 U.S. at 349 (“The primary objective of copyright is not to reward the labor of authors, but ‘[t]o promote the Progress of Science and useful Arts.’”).</w:t>
      </w:r>
    </w:p>
  </w:footnote>
  <w:footnote w:id="11">
    <w:p w14:paraId="5F9D072A" w14:textId="03418E27" w:rsidR="00101059" w:rsidRPr="0057024A" w:rsidRDefault="00101059" w:rsidP="00256E53">
      <w:pPr>
        <w:pStyle w:val="FootnoteText"/>
      </w:pPr>
      <w:r w:rsidRPr="0057024A">
        <w:rPr>
          <w:rStyle w:val="FootnoteReference"/>
        </w:rPr>
        <w:footnoteRef/>
      </w:r>
      <w:r w:rsidRPr="0057024A">
        <w:t xml:space="preserve"> 17 U.S.C. § 101 (defining ‘derivative work”)</w:t>
      </w:r>
    </w:p>
  </w:footnote>
  <w:footnote w:id="12">
    <w:p w14:paraId="0E50330D" w14:textId="7EA7A831"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w:t>
      </w:r>
      <w:r w:rsidRPr="00870275">
        <w:rPr>
          <w:i/>
          <w:iCs/>
        </w:rPr>
        <w:t>infra</w:t>
      </w:r>
      <w:r w:rsidRPr="0057024A">
        <w:t xml:space="preserve"> Part IV.</w:t>
      </w:r>
    </w:p>
  </w:footnote>
  <w:footnote w:id="13">
    <w:p w14:paraId="1EB2837F" w14:textId="0DCEEA89" w:rsidR="00101059" w:rsidRPr="0057024A" w:rsidRDefault="00101059" w:rsidP="00256E53">
      <w:pPr>
        <w:pStyle w:val="FootnoteText"/>
      </w:pPr>
      <w:r w:rsidRPr="0057024A">
        <w:rPr>
          <w:rStyle w:val="FootnoteReference"/>
        </w:rPr>
        <w:footnoteRef/>
      </w:r>
      <w:r w:rsidRPr="0057024A">
        <w:t xml:space="preserve"> Feist, 499 U.S. at 340.</w:t>
      </w:r>
    </w:p>
  </w:footnote>
  <w:footnote w:id="14">
    <w:p w14:paraId="77AE2D3B" w14:textId="594DE366"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 xml:space="preserve"> at 344–45; (“Facts do not owe their origin to an act of authorship.”)</w:t>
      </w:r>
      <w:r>
        <w:t>,</w:t>
      </w:r>
      <w:r w:rsidRPr="0057024A">
        <w:t xml:space="preserve"> </w:t>
      </w:r>
      <w:r>
        <w:rPr>
          <w:i/>
          <w:iCs/>
        </w:rPr>
        <w:t xml:space="preserve">id. </w:t>
      </w:r>
      <w:r w:rsidRPr="0057024A">
        <w:t>at 347.</w:t>
      </w:r>
    </w:p>
  </w:footnote>
  <w:footnote w:id="15">
    <w:p w14:paraId="1B62A765" w14:textId="7059CB8E"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 xml:space="preserve"> at 349</w:t>
      </w:r>
      <w:r>
        <w:t xml:space="preserve">; </w:t>
      </w:r>
      <w:r w:rsidRPr="0057024A">
        <w:t xml:space="preserve">Jordan M. Blanke, </w:t>
      </w:r>
      <w:r w:rsidRPr="00E33425">
        <w:rPr>
          <w:i/>
        </w:rPr>
        <w:t>Vincent van Gogh, “Sweat of the Brow,” and Database Protection</w:t>
      </w:r>
      <w:r w:rsidRPr="0057024A">
        <w:t xml:space="preserve">, 39 </w:t>
      </w:r>
      <w:r w:rsidRPr="0057024A">
        <w:rPr>
          <w:smallCaps/>
        </w:rPr>
        <w:t>Am. Bus. L.J.</w:t>
      </w:r>
      <w:r w:rsidRPr="0057024A">
        <w:t xml:space="preserve"> 645, 655–56 (2002) (discussing original selection or arrangement).</w:t>
      </w:r>
    </w:p>
  </w:footnote>
  <w:footnote w:id="16">
    <w:p w14:paraId="40DF4BA5" w14:textId="49075CF6"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362–63</w:t>
      </w:r>
      <w:r>
        <w:t>.</w:t>
      </w:r>
    </w:p>
  </w:footnote>
  <w:footnote w:id="17">
    <w:p w14:paraId="7BA52D77" w14:textId="5AADBD08" w:rsidR="00101059" w:rsidRDefault="00101059" w:rsidP="00CF1194">
      <w:pPr>
        <w:pStyle w:val="FootnoteText"/>
      </w:pPr>
      <w:r>
        <w:rPr>
          <w:rStyle w:val="FootnoteReference"/>
        </w:rPr>
        <w:footnoteRef/>
      </w:r>
      <w:r>
        <w:t xml:space="preserve"> </w:t>
      </w:r>
      <w:r w:rsidRPr="006A3E7E">
        <w:rPr>
          <w:i/>
        </w:rPr>
        <w:t>Feist</w:t>
      </w:r>
      <w:r>
        <w:t xml:space="preserve">, 499 U.S. at 349-50 (quoting </w:t>
      </w:r>
      <w:r w:rsidRPr="0057024A">
        <w:t>U.S. CONST. art. I, § 8, cl. 8</w:t>
      </w:r>
      <w:r>
        <w:t xml:space="preserve">); </w:t>
      </w:r>
      <w:r w:rsidRPr="00870275">
        <w:rPr>
          <w:i/>
          <w:iCs/>
        </w:rPr>
        <w:t>see</w:t>
      </w:r>
      <w:r w:rsidRPr="0057024A">
        <w:t xml:space="preserve"> Pamela Samuelson, </w:t>
      </w:r>
      <w:r w:rsidRPr="00E33425">
        <w:rPr>
          <w:i/>
        </w:rPr>
        <w:t>Copyright and Freedom of Expression in Historical Perspective</w:t>
      </w:r>
      <w:r w:rsidRPr="0057024A">
        <w:t xml:space="preserve">, 10 </w:t>
      </w:r>
      <w:r w:rsidRPr="0057024A">
        <w:rPr>
          <w:smallCaps/>
        </w:rPr>
        <w:t>J. Intell. Prop. L.</w:t>
      </w:r>
      <w:r w:rsidRPr="0057024A">
        <w:t xml:space="preserve"> 319, 33</w:t>
      </w:r>
      <w:r>
        <w:t xml:space="preserve">3 </w:t>
      </w:r>
      <w:r w:rsidRPr="0057024A">
        <w:t>(2003) (</w:t>
      </w:r>
      <w:r>
        <w:t xml:space="preserve">stating </w:t>
      </w:r>
      <w:r w:rsidRPr="0057024A">
        <w:t xml:space="preserve">that Feist reaffirmed </w:t>
      </w:r>
      <w:r>
        <w:t>“</w:t>
      </w:r>
      <w:r w:rsidRPr="00CF1194">
        <w:t>the modern conception</w:t>
      </w:r>
      <w:r>
        <w:t xml:space="preserve"> </w:t>
      </w:r>
      <w:r w:rsidRPr="00CF1194">
        <w:t xml:space="preserve">of </w:t>
      </w:r>
      <w:r>
        <w:t>‘</w:t>
      </w:r>
      <w:r w:rsidRPr="00CF1194">
        <w:t>originality</w:t>
      </w:r>
      <w:r>
        <w:t>’</w:t>
      </w:r>
      <w:r w:rsidRPr="00CF1194">
        <w:t xml:space="preserve"> as a meaningful limitation on the rights of publishers to claim copyright</w:t>
      </w:r>
      <w:r>
        <w:t>”</w:t>
      </w:r>
      <w:r w:rsidRPr="0057024A">
        <w:t>)</w:t>
      </w:r>
      <w:r>
        <w:t>.</w:t>
      </w:r>
    </w:p>
  </w:footnote>
  <w:footnote w:id="18">
    <w:p w14:paraId="73690250" w14:textId="3729C501" w:rsidR="00101059" w:rsidRPr="0057024A" w:rsidRDefault="00101059" w:rsidP="00AA31A6">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Fonts w:cs="Times New Roman"/>
        </w:rPr>
        <w:t xml:space="preserve"> </w:t>
      </w:r>
      <w:r w:rsidRPr="0057024A">
        <w:rPr>
          <w:rFonts w:ascii="Times New Roman" w:eastAsia="Times New Roman" w:hAnsi="Times New Roman" w:cs="Times New Roman"/>
          <w:sz w:val="20"/>
          <w:szCs w:val="20"/>
        </w:rPr>
        <w:t>Compare Directive 96/9/EC of the European Parliament and of the Council of 11 March 1996 on the Legal Protection of Databases, 1996 O.J. (L 77) 20 (EC) (establishing a sui</w:t>
      </w:r>
      <w:r>
        <w:rPr>
          <w:rFonts w:ascii="Times New Roman" w:eastAsia="Times New Roman" w:hAnsi="Times New Roman" w:cs="Times New Roman"/>
          <w:sz w:val="20"/>
          <w:szCs w:val="20"/>
        </w:rPr>
        <w:t xml:space="preserve"> </w:t>
      </w:r>
      <w:r w:rsidRPr="0057024A">
        <w:rPr>
          <w:rFonts w:ascii="Times New Roman" w:eastAsia="Times New Roman" w:hAnsi="Times New Roman" w:cs="Times New Roman"/>
          <w:sz w:val="20"/>
          <w:szCs w:val="20"/>
        </w:rPr>
        <w:t>generis right for substantial investment in data collection), with H.R. Rep. No. 105-525, at 5–7 (1998) (declining adoption of a sui generis database right post-Feist).</w:t>
      </w:r>
    </w:p>
  </w:footnote>
  <w:footnote w:id="19">
    <w:p w14:paraId="5F94677D" w14:textId="1F32D761" w:rsidR="00101059" w:rsidRPr="0057024A" w:rsidRDefault="00101059" w:rsidP="00256E53">
      <w:pPr>
        <w:pStyle w:val="FootnoteText"/>
      </w:pPr>
      <w:r w:rsidRPr="0057024A">
        <w:rPr>
          <w:rStyle w:val="FootnoteReference"/>
        </w:rPr>
        <w:footnoteRef/>
      </w:r>
      <w:r w:rsidRPr="0057024A">
        <w:t xml:space="preserve"> </w:t>
      </w:r>
      <w:r w:rsidRPr="00684F08">
        <w:rPr>
          <w:i/>
        </w:rPr>
        <w:t>Copyright Office, Part 2</w:t>
      </w:r>
      <w:r w:rsidRPr="0057024A">
        <w:t xml:space="preserve">, </w:t>
      </w:r>
      <w:r w:rsidRPr="00A83C40">
        <w:rPr>
          <w:i/>
          <w:iCs/>
        </w:rPr>
        <w:t xml:space="preserve">supra </w:t>
      </w:r>
      <w:r w:rsidRPr="0057024A">
        <w:t>note</w:t>
      </w:r>
      <w:r>
        <w:t xml:space="preserve"> </w:t>
      </w:r>
      <w:r w:rsidRPr="0057024A">
        <w:t>1.</w:t>
      </w:r>
    </w:p>
  </w:footnote>
  <w:footnote w:id="20">
    <w:p w14:paraId="69398056" w14:textId="0476FF31" w:rsidR="00101059" w:rsidRPr="0057024A" w:rsidRDefault="00101059" w:rsidP="00256E53">
      <w:pPr>
        <w:pStyle w:val="FootnoteText"/>
      </w:pPr>
      <w:r w:rsidRPr="0057024A">
        <w:rPr>
          <w:rStyle w:val="FootnoteReference"/>
        </w:rPr>
        <w:footnoteRef/>
      </w:r>
      <w:r w:rsidRPr="0057024A">
        <w:t xml:space="preserve"> </w:t>
      </w:r>
      <w:r w:rsidRPr="006024F5">
        <w:rPr>
          <w:i/>
        </w:rPr>
        <w:t>Copyright Office, Part 2</w:t>
      </w:r>
      <w:r w:rsidRPr="0057024A">
        <w:t xml:space="preserve">, </w:t>
      </w:r>
      <w:r w:rsidRPr="00A83C40">
        <w:rPr>
          <w:i/>
          <w:iCs/>
        </w:rPr>
        <w:t xml:space="preserve">supra </w:t>
      </w:r>
      <w:r w:rsidRPr="0057024A">
        <w:t xml:space="preserve">note 1, </w:t>
      </w:r>
      <w:r w:rsidRPr="0057024A">
        <w:rPr>
          <w:rFonts w:eastAsia="Times New Roman"/>
        </w:rPr>
        <w:t>at 41.</w:t>
      </w:r>
    </w:p>
  </w:footnote>
  <w:footnote w:id="21">
    <w:p w14:paraId="1C694FD3" w14:textId="770FC932" w:rsidR="00101059" w:rsidRPr="0057024A" w:rsidRDefault="00101059" w:rsidP="00256E53">
      <w:pPr>
        <w:pStyle w:val="FootnoteText"/>
      </w:pPr>
      <w:r w:rsidRPr="0057024A">
        <w:rPr>
          <w:rStyle w:val="FootnoteReference"/>
        </w:rPr>
        <w:footnoteRef/>
      </w:r>
      <w:r w:rsidRPr="0057024A">
        <w:t xml:space="preserve"> </w:t>
      </w:r>
      <w:r w:rsidRPr="006024F5">
        <w:rPr>
          <w:i/>
        </w:rPr>
        <w:t>Copyright Office, Part 2</w:t>
      </w:r>
      <w:r w:rsidRPr="0057024A">
        <w:t xml:space="preserve">, </w:t>
      </w:r>
      <w:r w:rsidRPr="00A83C40">
        <w:rPr>
          <w:i/>
          <w:iCs/>
        </w:rPr>
        <w:t xml:space="preserve">supra </w:t>
      </w:r>
      <w:r w:rsidRPr="0057024A">
        <w:t xml:space="preserve">note 1, </w:t>
      </w:r>
      <w:r w:rsidRPr="0057024A">
        <w:rPr>
          <w:rFonts w:eastAsia="Times New Roman"/>
        </w:rPr>
        <w:t xml:space="preserve">at 24–27; </w:t>
      </w:r>
      <w:r w:rsidRPr="00684F08">
        <w:rPr>
          <w:i/>
        </w:rPr>
        <w:t>Copyright Office, Part 3</w:t>
      </w:r>
      <w:r w:rsidRPr="0057024A">
        <w:t xml:space="preserve">, </w:t>
      </w:r>
      <w:r w:rsidRPr="00A83C40">
        <w:rPr>
          <w:i/>
          <w:iCs/>
        </w:rPr>
        <w:t xml:space="preserve">supra </w:t>
      </w:r>
      <w:r w:rsidRPr="0057024A">
        <w:t xml:space="preserve">note 1, </w:t>
      </w:r>
      <w:r w:rsidRPr="0057024A">
        <w:rPr>
          <w:rFonts w:eastAsia="Times New Roman"/>
        </w:rPr>
        <w:t>at 63.</w:t>
      </w:r>
    </w:p>
  </w:footnote>
  <w:footnote w:id="22">
    <w:p w14:paraId="064EEADB" w14:textId="06138349" w:rsidR="00101059" w:rsidRPr="0057024A" w:rsidRDefault="00101059" w:rsidP="002C136A">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Fonts w:cs="Times New Roman"/>
        </w:rPr>
        <w:t xml:space="preserve"> </w:t>
      </w:r>
      <w:r w:rsidRPr="0057024A">
        <w:rPr>
          <w:rFonts w:ascii="Times New Roman" w:eastAsia="Times New Roman" w:hAnsi="Times New Roman" w:cs="Times New Roman"/>
          <w:sz w:val="20"/>
          <w:szCs w:val="20"/>
        </w:rPr>
        <w:t xml:space="preserve">17 U.S.C. § 102(b); </w:t>
      </w:r>
      <w:r w:rsidRPr="00870275">
        <w:rPr>
          <w:rFonts w:ascii="Times New Roman" w:eastAsia="Times New Roman" w:hAnsi="Times New Roman" w:cs="Times New Roman"/>
          <w:i/>
          <w:sz w:val="20"/>
          <w:szCs w:val="20"/>
        </w:rPr>
        <w:t>see</w:t>
      </w:r>
      <w:r w:rsidRPr="0057024A">
        <w:rPr>
          <w:rFonts w:ascii="Times New Roman" w:eastAsia="Times New Roman" w:hAnsi="Times New Roman" w:cs="Times New Roman"/>
          <w:sz w:val="20"/>
          <w:szCs w:val="20"/>
        </w:rPr>
        <w:t xml:space="preserve"> </w:t>
      </w:r>
      <w:r w:rsidRPr="00870275">
        <w:rPr>
          <w:rFonts w:ascii="Times New Roman" w:eastAsia="Times New Roman" w:hAnsi="Times New Roman" w:cs="Times New Roman"/>
          <w:i/>
          <w:sz w:val="20"/>
          <w:szCs w:val="20"/>
        </w:rPr>
        <w:t>also</w:t>
      </w:r>
      <w:r w:rsidRPr="0057024A">
        <w:rPr>
          <w:rFonts w:ascii="Times New Roman" w:eastAsia="Times New Roman" w:hAnsi="Times New Roman" w:cs="Times New Roman"/>
          <w:sz w:val="20"/>
          <w:szCs w:val="20"/>
        </w:rPr>
        <w:t xml:space="preserve"> Baker v. Selden, 101 U.S. 99, 103–04 (1879).</w:t>
      </w:r>
    </w:p>
  </w:footnote>
  <w:footnote w:id="23">
    <w:p w14:paraId="0054C851" w14:textId="259E1417" w:rsidR="00101059" w:rsidRPr="0057024A" w:rsidRDefault="00101059" w:rsidP="00034DDB">
      <w:pPr>
        <w:spacing w:after="0" w:line="240" w:lineRule="auto"/>
        <w:rPr>
          <w:rFonts w:ascii="Times New Roman" w:eastAsia="Times New Roman" w:hAnsi="Times New Roman" w:cs="Times New Roman"/>
          <w:kern w:val="0"/>
          <w14:ligatures w14:val="none"/>
        </w:rPr>
      </w:pPr>
      <w:r w:rsidRPr="0057024A">
        <w:rPr>
          <w:rStyle w:val="FootnoteReference"/>
          <w:rFonts w:ascii="Times New Roman" w:hAnsi="Times New Roman" w:cs="Times New Roman"/>
          <w:sz w:val="20"/>
          <w:szCs w:val="20"/>
        </w:rPr>
        <w:footnoteRef/>
      </w:r>
      <w:r w:rsidRPr="0057024A">
        <w:rPr>
          <w:rFonts w:ascii="Times New Roman" w:hAnsi="Times New Roman" w:cs="Times New Roman"/>
        </w:rPr>
        <w:t xml:space="preserve"> </w:t>
      </w:r>
      <w:r w:rsidRPr="0057024A">
        <w:rPr>
          <w:rFonts w:ascii="Times New Roman" w:eastAsia="Times New Roman" w:hAnsi="Times New Roman" w:cs="Times New Roman"/>
          <w:kern w:val="0"/>
          <w:sz w:val="20"/>
          <w:szCs w:val="20"/>
          <w14:ligatures w14:val="none"/>
        </w:rPr>
        <w:t>Burrow-Giles Lithographic Co. v. Sarony, 111 U.S. 53, 57–60 (1884).</w:t>
      </w:r>
    </w:p>
  </w:footnote>
  <w:footnote w:id="24">
    <w:p w14:paraId="43DC3314" w14:textId="20B58A51" w:rsidR="00101059" w:rsidRPr="0057024A" w:rsidRDefault="00101059" w:rsidP="00256E53">
      <w:pPr>
        <w:pStyle w:val="FootnoteText"/>
      </w:pPr>
      <w:r w:rsidRPr="0057024A">
        <w:rPr>
          <w:rStyle w:val="FootnoteReference"/>
        </w:rPr>
        <w:footnoteRef/>
      </w:r>
      <w:r w:rsidRPr="0057024A">
        <w:t xml:space="preserve"> </w:t>
      </w:r>
      <w:r w:rsidRPr="00684F08">
        <w:rPr>
          <w:i/>
        </w:rPr>
        <w:t>Id</w:t>
      </w:r>
      <w:r>
        <w:t>.</w:t>
      </w:r>
      <w:r w:rsidRPr="0057024A">
        <w:t xml:space="preserve"> at 60-61.</w:t>
      </w:r>
    </w:p>
  </w:footnote>
  <w:footnote w:id="25">
    <w:p w14:paraId="4F958199" w14:textId="71C0AA41" w:rsidR="00101059" w:rsidRPr="0057024A" w:rsidRDefault="00101059" w:rsidP="00256E53">
      <w:pPr>
        <w:pStyle w:val="FootnoteText"/>
      </w:pPr>
      <w:r w:rsidRPr="0057024A">
        <w:rPr>
          <w:rStyle w:val="FootnoteReference"/>
        </w:rPr>
        <w:footnoteRef/>
      </w:r>
      <w:r w:rsidRPr="0057024A">
        <w:t xml:space="preserve"> Thaler v. Perlmutter, No. 22-1564, 2023 WL 5333236, at *1 (D.D.C. Mar. 18, 2025) (holding that copyright protection extends only to human-created works and that a computer-generated image lacking human authorship is not registrable).</w:t>
      </w:r>
    </w:p>
  </w:footnote>
  <w:footnote w:id="26">
    <w:p w14:paraId="3599B0F0" w14:textId="5C3D1F05"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*1–*3 (affirming Copyright Office determination limiting protection to human authors).</w:t>
      </w:r>
    </w:p>
  </w:footnote>
  <w:footnote w:id="27">
    <w:p w14:paraId="3824C15E" w14:textId="6F881273"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*6.</w:t>
      </w:r>
    </w:p>
  </w:footnote>
  <w:footnote w:id="28">
    <w:p w14:paraId="256064CD" w14:textId="0FAAA746" w:rsidR="00101059" w:rsidRPr="0057024A" w:rsidRDefault="00101059" w:rsidP="00256E53">
      <w:pPr>
        <w:pStyle w:val="FootnoteText"/>
      </w:pPr>
      <w:r w:rsidRPr="0057024A">
        <w:rPr>
          <w:rStyle w:val="FootnoteReference"/>
        </w:rPr>
        <w:footnoteRef/>
      </w:r>
      <w:r w:rsidRPr="0057024A">
        <w:t xml:space="preserve"> Naruto v. Slater, 888 F.3d 418 (9th Cir. 2018) (holding that animals lack statutory standing to sue under the Copyright Act).</w:t>
      </w:r>
    </w:p>
  </w:footnote>
  <w:footnote w:id="29">
    <w:p w14:paraId="23070AB7" w14:textId="15C861CC" w:rsidR="00101059" w:rsidRPr="0057024A" w:rsidRDefault="00101059" w:rsidP="00256E53">
      <w:pPr>
        <w:pStyle w:val="FootnoteText"/>
      </w:pPr>
      <w:r w:rsidRPr="0057024A">
        <w:rPr>
          <w:rStyle w:val="FootnoteReference"/>
        </w:rPr>
        <w:footnoteRef/>
      </w:r>
      <w:r w:rsidRPr="0057024A">
        <w:t xml:space="preserve"> </w:t>
      </w:r>
      <w:r w:rsidRPr="006024F5">
        <w:rPr>
          <w:i/>
        </w:rPr>
        <w:t>Copyright Registration Guidance</w:t>
      </w:r>
      <w:r w:rsidRPr="0057024A">
        <w:t xml:space="preserve">, </w:t>
      </w:r>
      <w:r w:rsidRPr="00A83C40">
        <w:rPr>
          <w:i/>
          <w:iCs/>
        </w:rPr>
        <w:t xml:space="preserve">supra </w:t>
      </w:r>
      <w:r w:rsidRPr="0057024A">
        <w:t>note 1.</w:t>
      </w:r>
    </w:p>
  </w:footnote>
  <w:footnote w:id="30">
    <w:p w14:paraId="6032C5C7" w14:textId="73308D86"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5.</w:t>
      </w:r>
    </w:p>
  </w:footnote>
  <w:footnote w:id="31">
    <w:p w14:paraId="59615AB5" w14:textId="701F1333" w:rsidR="00101059" w:rsidRPr="0057024A" w:rsidRDefault="00101059" w:rsidP="00256E53">
      <w:pPr>
        <w:pStyle w:val="FootnoteText"/>
      </w:pPr>
      <w:r w:rsidRPr="0057024A">
        <w:rPr>
          <w:rStyle w:val="FootnoteReference"/>
        </w:rPr>
        <w:footnoteRef/>
      </w:r>
      <w:r w:rsidRPr="0057024A">
        <w:t xml:space="preserve"> </w:t>
      </w:r>
      <w:r w:rsidRPr="00684F08">
        <w:rPr>
          <w:i/>
        </w:rPr>
        <w:t>Id</w:t>
      </w:r>
      <w:r w:rsidRPr="0057024A">
        <w:t>.</w:t>
      </w:r>
    </w:p>
  </w:footnote>
  <w:footnote w:id="32">
    <w:p w14:paraId="60642793" w14:textId="28B25394"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2.</w:t>
      </w:r>
    </w:p>
  </w:footnote>
  <w:footnote w:id="33">
    <w:p w14:paraId="4696C263" w14:textId="5238BB7D"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7 n.5.</w:t>
      </w:r>
    </w:p>
  </w:footnote>
  <w:footnote w:id="34">
    <w:p w14:paraId="7E2E94E5" w14:textId="657D9209" w:rsidR="00101059" w:rsidRPr="0057024A" w:rsidRDefault="00101059" w:rsidP="00747F2B">
      <w:pPr>
        <w:pStyle w:val="11kfxpgc"/>
        <w:spacing w:before="0" w:beforeAutospacing="0" w:after="0" w:afterAutospacing="0"/>
        <w:rPr>
          <w:sz w:val="20"/>
          <w:szCs w:val="20"/>
        </w:rPr>
      </w:pPr>
      <w:r w:rsidRPr="0057024A">
        <w:rPr>
          <w:rStyle w:val="FootnoteReference"/>
          <w:rFonts w:eastAsiaTheme="minorHAnsi"/>
          <w:kern w:val="2"/>
          <w:sz w:val="20"/>
          <w:szCs w:val="20"/>
          <w14:ligatures w14:val="standardContextual"/>
        </w:rPr>
        <w:footnoteRef/>
      </w:r>
      <w:r w:rsidRPr="0057024A">
        <w:t xml:space="preserve"> </w:t>
      </w:r>
      <w:r w:rsidRPr="0057024A">
        <w:rPr>
          <w:i/>
          <w:sz w:val="20"/>
          <w:szCs w:val="20"/>
        </w:rPr>
        <w:t xml:space="preserve">Id. </w:t>
      </w:r>
      <w:r w:rsidRPr="0057024A">
        <w:rPr>
          <w:sz w:val="20"/>
          <w:szCs w:val="20"/>
        </w:rPr>
        <w:t>at 4-6.</w:t>
      </w:r>
    </w:p>
  </w:footnote>
  <w:footnote w:id="35">
    <w:p w14:paraId="0E522307" w14:textId="5CAFC0CD" w:rsidR="00101059" w:rsidRPr="0057024A" w:rsidRDefault="00101059" w:rsidP="00256E53">
      <w:pPr>
        <w:pStyle w:val="FootnoteText"/>
      </w:pPr>
      <w:r w:rsidRPr="0057024A">
        <w:rPr>
          <w:rStyle w:val="FootnoteReference"/>
        </w:rPr>
        <w:footnoteRef/>
      </w:r>
      <w:r w:rsidRPr="0057024A">
        <w:t xml:space="preserve"> </w:t>
      </w:r>
      <w:r w:rsidRPr="0057024A">
        <w:rPr>
          <w:smallCaps/>
        </w:rPr>
        <w:t>U.S. Copyright Off.</w:t>
      </w:r>
      <w:r w:rsidRPr="0057024A">
        <w:t>, Letter Explaining Reissuance of Registration for Zarya of the Dawn (eBook) (Feb. 21, 2023) (concluding that Midjourney-generated images are not registrable). Midjourney is an AI tool that generates images.</w:t>
      </w:r>
    </w:p>
  </w:footnote>
  <w:footnote w:id="36">
    <w:p w14:paraId="079A870E" w14:textId="42A165E5" w:rsidR="00101059" w:rsidRPr="0057024A" w:rsidRDefault="00101059" w:rsidP="00256E53">
      <w:pPr>
        <w:pStyle w:val="FootnoteText"/>
      </w:pPr>
      <w:r w:rsidRPr="0057024A">
        <w:rPr>
          <w:rStyle w:val="FootnoteReference"/>
        </w:rPr>
        <w:footnoteRef/>
      </w:r>
      <w:r w:rsidRPr="0057024A">
        <w:t xml:space="preserve"> </w:t>
      </w:r>
      <w:r w:rsidRPr="00684F08">
        <w:rPr>
          <w:i/>
        </w:rPr>
        <w:t>Id</w:t>
      </w:r>
      <w:r w:rsidRPr="0057024A">
        <w:t xml:space="preserve">. </w:t>
      </w:r>
    </w:p>
  </w:footnote>
  <w:footnote w:id="37">
    <w:p w14:paraId="566BA5EF" w14:textId="6ED2DEFB" w:rsidR="00101059" w:rsidRPr="0057024A" w:rsidRDefault="00101059" w:rsidP="00256E53">
      <w:pPr>
        <w:pStyle w:val="FootnoteText"/>
      </w:pPr>
      <w:r w:rsidRPr="0057024A">
        <w:rPr>
          <w:rStyle w:val="FootnoteReference"/>
        </w:rPr>
        <w:footnoteRef/>
      </w:r>
      <w:r w:rsidRPr="0057024A">
        <w:t xml:space="preserve"> </w:t>
      </w:r>
      <w:r w:rsidRPr="0057024A">
        <w:rPr>
          <w:smallCaps/>
        </w:rPr>
        <w:t>U.S. Copyright Off. Review Bd.</w:t>
      </w:r>
      <w:r w:rsidRPr="0057024A">
        <w:t>, Second Request for Reconsideration for Refusal to Register Théâtre d’Opéra Spatial (Sept. 5, 2023) (denying registration where applicant failed to disclaim AI-generated portions of the work).</w:t>
      </w:r>
    </w:p>
  </w:footnote>
  <w:footnote w:id="38">
    <w:p w14:paraId="6B1A1557" w14:textId="5E83E826" w:rsidR="00101059" w:rsidRPr="0057024A" w:rsidRDefault="00101059" w:rsidP="00256E53">
      <w:pPr>
        <w:pStyle w:val="FootnoteText"/>
      </w:pPr>
      <w:r w:rsidRPr="0057024A">
        <w:rPr>
          <w:rStyle w:val="FootnoteReference"/>
        </w:rPr>
        <w:footnoteRef/>
      </w:r>
      <w:r w:rsidRPr="0057024A">
        <w:t xml:space="preserve"> </w:t>
      </w:r>
      <w:r w:rsidRPr="0057024A">
        <w:rPr>
          <w:smallCaps/>
        </w:rPr>
        <w:t>U.S. Copyright Off. Review Bd.</w:t>
      </w:r>
      <w:r w:rsidRPr="0057024A">
        <w:t>, Second Request for Reconsideration for Refusal to Register SURYAST (Dec. 11, 2023) (denying registration where the claimant’s contribution to the work was deemed insufficient.)</w:t>
      </w:r>
    </w:p>
  </w:footnote>
  <w:footnote w:id="39">
    <w:p w14:paraId="3F27B817" w14:textId="0D3E7A0E" w:rsidR="00101059" w:rsidRPr="0057024A" w:rsidRDefault="00101059" w:rsidP="00256E53">
      <w:pPr>
        <w:pStyle w:val="FootnoteText"/>
      </w:pPr>
      <w:r w:rsidRPr="0057024A">
        <w:rPr>
          <w:rStyle w:val="FootnoteReference"/>
        </w:rPr>
        <w:footnoteRef/>
      </w:r>
      <w:r w:rsidRPr="0057024A">
        <w:t xml:space="preserve"> </w:t>
      </w:r>
      <w:bookmarkStart w:id="15" w:name="_Hlk219719518"/>
      <w:r w:rsidRPr="00937B8E">
        <w:rPr>
          <w:i/>
        </w:rPr>
        <w:t xml:space="preserve">Copyright Office: Part </w:t>
      </w:r>
      <w:r>
        <w:rPr>
          <w:i/>
        </w:rPr>
        <w:t>2</w:t>
      </w:r>
      <w:r w:rsidRPr="0057024A">
        <w:t xml:space="preserve">, </w:t>
      </w:r>
      <w:r w:rsidRPr="00A83C40">
        <w:rPr>
          <w:i/>
          <w:iCs/>
        </w:rPr>
        <w:t xml:space="preserve">supra </w:t>
      </w:r>
      <w:r w:rsidRPr="0057024A">
        <w:t>note 1</w:t>
      </w:r>
      <w:bookmarkEnd w:id="15"/>
      <w:r w:rsidRPr="0057024A">
        <w:t>.</w:t>
      </w:r>
    </w:p>
  </w:footnote>
  <w:footnote w:id="40">
    <w:p w14:paraId="1054AD9F" w14:textId="716FA84E" w:rsidR="00101059" w:rsidRPr="0057024A" w:rsidRDefault="00101059" w:rsidP="00F87E99">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Style w:val="FootnoteReference"/>
          <w:rFonts w:ascii="Times New Roman" w:hAnsi="Times New Roman"/>
          <w:sz w:val="20"/>
          <w:szCs w:val="20"/>
        </w:rPr>
        <w:t xml:space="preserve"> </w:t>
      </w:r>
      <w:r w:rsidRPr="00937B8E">
        <w:rPr>
          <w:rFonts w:ascii="Times New Roman" w:eastAsia="Times New Roman" w:hAnsi="Times New Roman" w:cs="Times New Roman"/>
          <w:i/>
          <w:sz w:val="20"/>
          <w:szCs w:val="20"/>
        </w:rPr>
        <w:t xml:space="preserve">Copyright Office: Part </w:t>
      </w:r>
      <w:r>
        <w:rPr>
          <w:rFonts w:ascii="Times New Roman" w:eastAsia="Times New Roman" w:hAnsi="Times New Roman" w:cs="Times New Roman"/>
          <w:i/>
          <w:sz w:val="20"/>
          <w:szCs w:val="20"/>
        </w:rPr>
        <w:t>2</w:t>
      </w:r>
      <w:r w:rsidRPr="0057024A">
        <w:rPr>
          <w:rFonts w:ascii="Times New Roman" w:eastAsia="Times New Roman" w:hAnsi="Times New Roman" w:cs="Times New Roman"/>
          <w:sz w:val="20"/>
          <w:szCs w:val="20"/>
        </w:rPr>
        <w:t xml:space="preserve">,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 xml:space="preserve">note 1 at 12–22; </w:t>
      </w:r>
      <w:r w:rsidRPr="000F525B">
        <w:rPr>
          <w:rFonts w:ascii="Times New Roman" w:eastAsia="Times New Roman" w:hAnsi="Times New Roman" w:cs="Times New Roman"/>
          <w:i/>
          <w:sz w:val="20"/>
          <w:szCs w:val="20"/>
        </w:rPr>
        <w:t>compare</w:t>
      </w:r>
      <w:r w:rsidRPr="0057024A">
        <w:rPr>
          <w:rFonts w:ascii="Times New Roman" w:eastAsia="Times New Roman" w:hAnsi="Times New Roman" w:cs="Times New Roman"/>
          <w:sz w:val="20"/>
          <w:szCs w:val="20"/>
        </w:rPr>
        <w:t xml:space="preserve"> (Pamela Samuelson, Christopher Jon Sprigman and Matthew Sag, in Comments Submitted in Response to the </w:t>
      </w:r>
      <w:r w:rsidRPr="00256E53">
        <w:rPr>
          <w:rFonts w:ascii="Times New Roman" w:eastAsia="Times New Roman" w:hAnsi="Times New Roman" w:cs="Times New Roman"/>
          <w:i/>
          <w:iCs/>
          <w:sz w:val="20"/>
          <w:szCs w:val="20"/>
        </w:rPr>
        <w:t>NOI</w:t>
      </w:r>
      <w:r w:rsidRPr="0057024A">
        <w:rPr>
          <w:rFonts w:ascii="Times New Roman" w:eastAsia="Times New Roman" w:hAnsi="Times New Roman" w:cs="Times New Roman"/>
          <w:sz w:val="20"/>
          <w:szCs w:val="20"/>
        </w:rPr>
        <w:t xml:space="preserve">, stated that a “person who instructs a Generative AI with enough detail, such that model output reflects that person’s original conception of the work, should be regarded as the author of the resulting work”)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 xml:space="preserve">at 15 n.79 </w:t>
      </w:r>
      <w:r w:rsidRPr="000F525B">
        <w:rPr>
          <w:rFonts w:ascii="Times New Roman" w:eastAsia="Times New Roman" w:hAnsi="Times New Roman" w:cs="Times New Roman"/>
          <w:i/>
          <w:sz w:val="20"/>
          <w:szCs w:val="20"/>
        </w:rPr>
        <w:t>with</w:t>
      </w:r>
      <w:r w:rsidRPr="0057024A">
        <w:rPr>
          <w:rFonts w:ascii="Times New Roman" w:eastAsia="Times New Roman" w:hAnsi="Times New Roman" w:cs="Times New Roman"/>
          <w:sz w:val="20"/>
          <w:szCs w:val="20"/>
        </w:rPr>
        <w:t xml:space="preserve"> (Daniel Gervais, in response to the same </w:t>
      </w:r>
      <w:r w:rsidRPr="00256E53">
        <w:rPr>
          <w:rFonts w:ascii="Times New Roman" w:eastAsia="Times New Roman" w:hAnsi="Times New Roman" w:cs="Times New Roman"/>
          <w:i/>
          <w:iCs/>
          <w:sz w:val="20"/>
          <w:szCs w:val="20"/>
        </w:rPr>
        <w:t>NOI</w:t>
      </w:r>
      <w:r w:rsidRPr="0057024A">
        <w:rPr>
          <w:rFonts w:ascii="Times New Roman" w:eastAsia="Times New Roman" w:hAnsi="Times New Roman" w:cs="Times New Roman"/>
          <w:sz w:val="20"/>
          <w:szCs w:val="20"/>
        </w:rPr>
        <w:t xml:space="preserve">, stated that it would be an “exceptional” case “in which a detailed prompt . . . could contain expressions of specific ideas that reflect human creative choices directly perceptible in the machine’s output”)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at 15 n.80.</w:t>
      </w:r>
    </w:p>
  </w:footnote>
  <w:footnote w:id="41">
    <w:p w14:paraId="31134539" w14:textId="67AB2768" w:rsidR="00101059" w:rsidRPr="0057024A" w:rsidRDefault="00101059" w:rsidP="00747F2B">
      <w:pPr>
        <w:pStyle w:val="11kfxpgc"/>
        <w:spacing w:before="0" w:beforeAutospacing="0" w:after="0" w:afterAutospacing="0"/>
        <w:rPr>
          <w:sz w:val="20"/>
          <w:szCs w:val="20"/>
        </w:rPr>
      </w:pPr>
      <w:r w:rsidRPr="0057024A">
        <w:rPr>
          <w:rStyle w:val="FootnoteReference"/>
          <w:rFonts w:eastAsiaTheme="minorHAnsi"/>
          <w:kern w:val="2"/>
          <w:sz w:val="20"/>
          <w:szCs w:val="20"/>
          <w14:ligatures w14:val="standardContextual"/>
        </w:rPr>
        <w:footnoteRef/>
      </w:r>
      <w:r w:rsidRPr="0057024A">
        <w:rPr>
          <w:rStyle w:val="FootnoteReference"/>
          <w:rFonts w:eastAsiaTheme="minorHAnsi"/>
          <w:kern w:val="2"/>
          <w:sz w:val="20"/>
          <w:szCs w:val="20"/>
          <w14:ligatures w14:val="standardContextual"/>
        </w:rPr>
        <w:t xml:space="preserve"> </w:t>
      </w:r>
      <w:r w:rsidRPr="0057024A">
        <w:rPr>
          <w:sz w:val="20"/>
          <w:szCs w:val="20"/>
        </w:rPr>
        <w:t>Copyright, Designs and Patents Act 1988, c. X, I, §§ 178, 9(3) (UK),</w:t>
      </w:r>
    </w:p>
  </w:footnote>
  <w:footnote w:id="42">
    <w:p w14:paraId="646DB2E6" w14:textId="245DDDC5" w:rsidR="00101059" w:rsidRPr="0057024A" w:rsidRDefault="00101059" w:rsidP="002658B1">
      <w:pPr>
        <w:autoSpaceDE w:val="0"/>
        <w:autoSpaceDN w:val="0"/>
        <w:adjustRightInd w:val="0"/>
        <w:spacing w:after="0" w:line="240" w:lineRule="auto"/>
        <w:rPr>
          <w:sz w:val="20"/>
          <w:szCs w:val="20"/>
        </w:rPr>
      </w:pPr>
      <w:r w:rsidRPr="0057024A">
        <w:rPr>
          <w:rStyle w:val="FootnoteReference"/>
          <w:sz w:val="20"/>
          <w:szCs w:val="20"/>
        </w:rPr>
        <w:footnoteRef/>
      </w:r>
      <w:r w:rsidRPr="0057024A">
        <w:t xml:space="preserve"> </w:t>
      </w:r>
      <w:r w:rsidRPr="0057024A">
        <w:rPr>
          <w:rFonts w:ascii="Times New Roman" w:eastAsia="Times New Roman" w:hAnsi="Times New Roman" w:cs="Times New Roman"/>
          <w:sz w:val="20"/>
          <w:szCs w:val="20"/>
        </w:rPr>
        <w:t>Li Mou Mou Su Liu Mou Mou Qin Hai Zuo Pin Shu Ming Quan, Xin Xi Wang Luo Chuan Bo Quan Jiu Fen An</w:t>
      </w:r>
      <w:r w:rsidRPr="0057024A">
        <w:rPr>
          <w:rFonts w:ascii="PalatinoLinotype-Roman" w:hAnsi="PalatinoLinotype-Roman" w:cs="PalatinoLinotype-Roman"/>
          <w:kern w:val="0"/>
          <w:sz w:val="18"/>
          <w:szCs w:val="18"/>
        </w:rPr>
        <w:t xml:space="preserve"> (</w:t>
      </w:r>
      <w:r w:rsidRPr="0057024A">
        <w:rPr>
          <w:rFonts w:ascii="SimSun" w:eastAsia="SimSun" w:hAnsi="PalatinoLinotype-Roman" w:cs="SimSun" w:hint="eastAsia"/>
          <w:kern w:val="0"/>
          <w:sz w:val="18"/>
          <w:szCs w:val="18"/>
        </w:rPr>
        <w:t>李某某诉刘某某侵害作品署名权</w:t>
      </w:r>
      <w:r w:rsidRPr="0057024A">
        <w:rPr>
          <w:rFonts w:ascii="PalatinoLinotype-Roman" w:hAnsi="PalatinoLinotype-Roman" w:cs="PalatinoLinotype-Roman"/>
          <w:kern w:val="0"/>
          <w:sz w:val="18"/>
          <w:szCs w:val="18"/>
        </w:rPr>
        <w:t xml:space="preserve">, </w:t>
      </w:r>
      <w:r w:rsidRPr="0057024A">
        <w:rPr>
          <w:rFonts w:ascii="SimSun" w:eastAsia="SimSun" w:hAnsi="PalatinoLinotype-Roman" w:cs="SimSun" w:hint="eastAsia"/>
          <w:kern w:val="0"/>
          <w:sz w:val="18"/>
          <w:szCs w:val="18"/>
        </w:rPr>
        <w:t>信息网络传播权纠纷案</w:t>
      </w:r>
      <w:r w:rsidRPr="0057024A">
        <w:rPr>
          <w:rFonts w:ascii="PalatinoLinotype-Roman" w:hAnsi="PalatinoLinotype-Roman" w:cs="PalatinoLinotype-Roman"/>
          <w:kern w:val="0"/>
          <w:sz w:val="18"/>
          <w:szCs w:val="18"/>
        </w:rPr>
        <w:t xml:space="preserve">) </w:t>
      </w:r>
      <w:r w:rsidRPr="0057024A">
        <w:rPr>
          <w:rFonts w:ascii="Times New Roman" w:eastAsia="Times New Roman" w:hAnsi="Times New Roman" w:cs="Times New Roman"/>
          <w:sz w:val="20"/>
          <w:szCs w:val="20"/>
        </w:rPr>
        <w:t xml:space="preserve">[Li v. Liu, Dispute over Copyright Infringement of the Right of </w:t>
      </w:r>
      <w:r w:rsidRPr="0057024A">
        <w:rPr>
          <w:rFonts w:ascii="Times New Roman" w:hAnsi="Times New Roman" w:cs="Times New Roman"/>
          <w:sz w:val="20"/>
          <w:szCs w:val="20"/>
        </w:rPr>
        <w:t>Attribution and Right of Information Network Distribution of Works], at 10-14 (Beijing Internet Ct. Nov. 27, 2023),</w:t>
      </w:r>
    </w:p>
  </w:footnote>
  <w:footnote w:id="43">
    <w:p w14:paraId="0BA13FD2" w14:textId="3FD8E8A7" w:rsidR="00101059" w:rsidRPr="0057024A" w:rsidRDefault="00101059" w:rsidP="0006466D">
      <w:pPr>
        <w:autoSpaceDE w:val="0"/>
        <w:autoSpaceDN w:val="0"/>
        <w:adjustRightInd w:val="0"/>
        <w:spacing w:after="0" w:line="240" w:lineRule="auto"/>
        <w:rPr>
          <w:rFonts w:eastAsia="Times New Roman" w:cs="Times New Roman"/>
        </w:rPr>
      </w:pPr>
      <w:r w:rsidRPr="0057024A">
        <w:rPr>
          <w:rStyle w:val="FootnoteReference"/>
          <w:sz w:val="20"/>
          <w:szCs w:val="20"/>
        </w:rPr>
        <w:footnoteRef/>
      </w:r>
      <w:r w:rsidRPr="0057024A">
        <w:t xml:space="preserve"> </w:t>
      </w:r>
      <w:r w:rsidRPr="0057024A">
        <w:rPr>
          <w:rFonts w:ascii="Times New Roman" w:eastAsia="Times New Roman" w:hAnsi="Times New Roman" w:cs="Times New Roman"/>
          <w:sz w:val="20"/>
          <w:szCs w:val="20"/>
        </w:rPr>
        <w:t xml:space="preserve">Council of the European Union, Policy questionnaire on the relationship between generative Artificial Intelligence and </w:t>
      </w:r>
      <w:r w:rsidRPr="0057024A">
        <w:rPr>
          <w:rFonts w:ascii="Times New Roman" w:hAnsi="Times New Roman" w:cs="Times New Roman"/>
          <w:sz w:val="20"/>
          <w:szCs w:val="20"/>
        </w:rPr>
        <w:t xml:space="preserve">copyright and related rights – Revised Presidency summary of the Member States contributions, at 16–18 (Dec. 20, 2024). For further discussions about international approaches to authorship requirements for AI-generated material, </w:t>
      </w:r>
      <w:r w:rsidRPr="00870275">
        <w:rPr>
          <w:rFonts w:ascii="Times New Roman" w:hAnsi="Times New Roman" w:cs="Times New Roman"/>
          <w:i/>
          <w:sz w:val="20"/>
          <w:szCs w:val="20"/>
        </w:rPr>
        <w:t>see</w:t>
      </w:r>
      <w:r w:rsidRPr="0057024A">
        <w:rPr>
          <w:rFonts w:ascii="Times New Roman" w:hAnsi="Times New Roman" w:cs="Times New Roman"/>
          <w:sz w:val="20"/>
          <w:szCs w:val="20"/>
        </w:rPr>
        <w:t xml:space="preserve"> </w:t>
      </w:r>
      <w:r w:rsidRPr="003A45BB">
        <w:rPr>
          <w:rFonts w:ascii="Times New Roman" w:eastAsia="Times New Roman" w:hAnsi="Times New Roman" w:cs="Times New Roman"/>
          <w:i/>
          <w:sz w:val="20"/>
          <w:szCs w:val="20"/>
        </w:rPr>
        <w:t>Copyright Office: Part 2</w:t>
      </w:r>
      <w:r w:rsidRPr="0057024A">
        <w:rPr>
          <w:rFonts w:ascii="Times New Roman" w:eastAsia="Times New Roman" w:hAnsi="Times New Roman" w:cs="Times New Roman"/>
          <w:sz w:val="20"/>
          <w:szCs w:val="20"/>
        </w:rPr>
        <w:t xml:space="preserve">,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note 1, at 28–31.</w:t>
      </w:r>
    </w:p>
  </w:footnote>
  <w:footnote w:id="44">
    <w:p w14:paraId="2D48E6E6" w14:textId="77777777" w:rsidR="00101059" w:rsidRPr="0057024A" w:rsidRDefault="00101059" w:rsidP="00256E53">
      <w:pPr>
        <w:pStyle w:val="FootnoteText"/>
      </w:pPr>
      <w:r w:rsidRPr="0057024A">
        <w:rPr>
          <w:rStyle w:val="FootnoteReference"/>
        </w:rPr>
        <w:footnoteRef/>
      </w:r>
      <w:r w:rsidRPr="0057024A">
        <w:t xml:space="preserve"> Atari, Inc. v. N. Am. Philips Consumer Elecs. Corp., 672 F.2d 607 (7th Cir. 1982).</w:t>
      </w:r>
    </w:p>
  </w:footnote>
  <w:footnote w:id="45">
    <w:p w14:paraId="3F5E7286" w14:textId="3D6E7305"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619-20 (finding that the defendant’s game “captured the total concept and feel” of Pac-Man).</w:t>
      </w:r>
    </w:p>
  </w:footnote>
  <w:footnote w:id="46">
    <w:p w14:paraId="735DADEB" w14:textId="63E5DE64" w:rsidR="00101059" w:rsidRPr="0057024A" w:rsidRDefault="00101059" w:rsidP="00256E53">
      <w:pPr>
        <w:pStyle w:val="FootnoteText"/>
      </w:pPr>
      <w:r w:rsidRPr="0057024A">
        <w:rPr>
          <w:rStyle w:val="FootnoteReference"/>
        </w:rPr>
        <w:footnoteRef/>
      </w:r>
      <w:r w:rsidRPr="0057024A">
        <w:t xml:space="preserve"> </w:t>
      </w:r>
      <w:r w:rsidRPr="00684F08">
        <w:rPr>
          <w:i/>
        </w:rPr>
        <w:t>Id</w:t>
      </w:r>
      <w:r w:rsidRPr="0057024A">
        <w:t xml:space="preserve">. </w:t>
      </w:r>
    </w:p>
  </w:footnote>
  <w:footnote w:id="47">
    <w:p w14:paraId="51612870" w14:textId="044702EB"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613 (describing defendant’s revisions).</w:t>
      </w:r>
    </w:p>
  </w:footnote>
  <w:footnote w:id="48">
    <w:p w14:paraId="1585149A" w14:textId="6F3E73BE" w:rsidR="00101059" w:rsidRPr="0057024A" w:rsidRDefault="00101059" w:rsidP="00256E53">
      <w:pPr>
        <w:pStyle w:val="FootnoteText"/>
      </w:pPr>
      <w:r w:rsidRPr="0057024A">
        <w:rPr>
          <w:rStyle w:val="FootnoteReference"/>
        </w:rPr>
        <w:footnoteRef/>
      </w:r>
      <w:r w:rsidRPr="0057024A">
        <w:t xml:space="preserve"> Apple Comput., Inc. v. Microsoft Corp., 35 F.3d 1435 (9th Cir. 1994).</w:t>
      </w:r>
    </w:p>
  </w:footnote>
  <w:footnote w:id="49">
    <w:p w14:paraId="606ACA0F" w14:textId="5EEDA61B"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1442-46.</w:t>
      </w:r>
    </w:p>
  </w:footnote>
  <w:footnote w:id="50">
    <w:p w14:paraId="1F7660F4" w14:textId="56CBD2F6" w:rsidR="00101059" w:rsidRPr="0057024A" w:rsidRDefault="00101059" w:rsidP="002649F3">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Style w:val="FootnoteReference"/>
          <w:rFonts w:ascii="Times New Roman" w:hAnsi="Times New Roman"/>
          <w:sz w:val="20"/>
          <w:szCs w:val="20"/>
        </w:rPr>
        <w:t xml:space="preserve"> </w:t>
      </w:r>
      <w:bookmarkStart w:id="18" w:name="_Hlk218941297"/>
      <w:r w:rsidRPr="0057024A">
        <w:rPr>
          <w:rFonts w:ascii="Times New Roman" w:eastAsia="Times New Roman" w:hAnsi="Times New Roman" w:cs="Times New Roman"/>
          <w:sz w:val="20"/>
          <w:szCs w:val="20"/>
        </w:rPr>
        <w:t>Sedlik v. von Drachenberg,</w:t>
      </w:r>
      <w:bookmarkEnd w:id="18"/>
      <w:r w:rsidRPr="0057024A">
        <w:rPr>
          <w:rFonts w:ascii="Times New Roman" w:eastAsia="Times New Roman" w:hAnsi="Times New Roman" w:cs="Times New Roman"/>
          <w:sz w:val="20"/>
          <w:szCs w:val="20"/>
        </w:rPr>
        <w:t xml:space="preserve"> Case No. 24-3367 (9th Cir. Jan. 2, 2026).</w:t>
      </w:r>
    </w:p>
  </w:footnote>
  <w:footnote w:id="51">
    <w:p w14:paraId="6A9A089F" w14:textId="4A5AA2BB"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*17-*18.</w:t>
      </w:r>
    </w:p>
  </w:footnote>
  <w:footnote w:id="52">
    <w:p w14:paraId="341D2D29" w14:textId="5B1B7EB4" w:rsidR="00101059" w:rsidRPr="0057024A" w:rsidRDefault="00101059" w:rsidP="002649F3">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Style w:val="FootnoteReference"/>
          <w:rFonts w:ascii="Times New Roman" w:hAnsi="Times New Roman"/>
          <w:sz w:val="20"/>
          <w:szCs w:val="20"/>
        </w:rPr>
        <w:t xml:space="preserve"> </w:t>
      </w:r>
      <w:r w:rsidRPr="00870275">
        <w:rPr>
          <w:rFonts w:ascii="Times New Roman" w:eastAsia="Times New Roman" w:hAnsi="Times New Roman" w:cs="Times New Roman"/>
          <w:i/>
          <w:sz w:val="20"/>
          <w:szCs w:val="20"/>
        </w:rPr>
        <w:t>See</w:t>
      </w:r>
      <w:r w:rsidRPr="0057024A">
        <w:rPr>
          <w:rFonts w:ascii="Times New Roman" w:eastAsia="Times New Roman" w:hAnsi="Times New Roman" w:cs="Times New Roman"/>
          <w:sz w:val="20"/>
          <w:szCs w:val="20"/>
        </w:rPr>
        <w:t xml:space="preserve"> Samuelson,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note 1</w:t>
      </w:r>
      <w:r>
        <w:rPr>
          <w:rFonts w:ascii="Times New Roman" w:eastAsia="Times New Roman" w:hAnsi="Times New Roman" w:cs="Times New Roman"/>
          <w:sz w:val="20"/>
          <w:szCs w:val="20"/>
        </w:rPr>
        <w:t>7</w:t>
      </w:r>
      <w:r w:rsidRPr="0057024A">
        <w:rPr>
          <w:rFonts w:ascii="Times New Roman" w:eastAsia="Times New Roman" w:hAnsi="Times New Roman" w:cs="Times New Roman"/>
          <w:sz w:val="20"/>
          <w:szCs w:val="20"/>
        </w:rPr>
        <w:t xml:space="preserve">, at 333; Blanke,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note 1</w:t>
      </w:r>
      <w:r>
        <w:rPr>
          <w:rFonts w:ascii="Times New Roman" w:eastAsia="Times New Roman" w:hAnsi="Times New Roman" w:cs="Times New Roman"/>
          <w:sz w:val="20"/>
          <w:szCs w:val="20"/>
        </w:rPr>
        <w:t>5</w:t>
      </w:r>
      <w:r w:rsidRPr="0057024A">
        <w:rPr>
          <w:rFonts w:ascii="Times New Roman" w:eastAsia="Times New Roman" w:hAnsi="Times New Roman" w:cs="Times New Roman"/>
          <w:sz w:val="20"/>
          <w:szCs w:val="20"/>
        </w:rPr>
        <w:t xml:space="preserve">, at 655–56 (explaining that Feist reaffirmed that copyright rewards creative expression rather than effort alone, illustrating the principle through van Gogh’s artistry); </w:t>
      </w:r>
      <w:r w:rsidRPr="00870275">
        <w:rPr>
          <w:rFonts w:ascii="Times New Roman" w:eastAsia="Times New Roman" w:hAnsi="Times New Roman" w:cs="Times New Roman"/>
          <w:i/>
          <w:sz w:val="20"/>
          <w:szCs w:val="20"/>
        </w:rPr>
        <w:t>see</w:t>
      </w:r>
      <w:r w:rsidRPr="0057024A">
        <w:rPr>
          <w:rFonts w:ascii="Times New Roman" w:eastAsia="Times New Roman" w:hAnsi="Times New Roman" w:cs="Times New Roman"/>
          <w:sz w:val="20"/>
          <w:szCs w:val="20"/>
        </w:rPr>
        <w:t xml:space="preserve"> </w:t>
      </w:r>
      <w:r w:rsidRPr="00870275">
        <w:rPr>
          <w:rFonts w:ascii="Times New Roman" w:eastAsia="Times New Roman" w:hAnsi="Times New Roman" w:cs="Times New Roman"/>
          <w:i/>
          <w:sz w:val="20"/>
          <w:szCs w:val="20"/>
        </w:rPr>
        <w:t>also</w:t>
      </w:r>
      <w:r w:rsidRPr="0057024A">
        <w:rPr>
          <w:rFonts w:ascii="Times New Roman" w:eastAsia="Times New Roman" w:hAnsi="Times New Roman" w:cs="Times New Roman"/>
          <w:sz w:val="20"/>
          <w:szCs w:val="20"/>
        </w:rPr>
        <w:t xml:space="preserve"> Bleistein v. Donaldson Lithographing Co., 188 U.S. 239, 250 (1903) (Holmes, J.) (“Personality always contains something unique. It expresses its singularity even in handwriting, and a very modest grade of art has in it something irreducible which is one man’s alone.”).</w:t>
      </w:r>
    </w:p>
  </w:footnote>
  <w:footnote w:id="53">
    <w:p w14:paraId="0474D8C2" w14:textId="5A0B3C43" w:rsidR="00101059" w:rsidRPr="0057024A" w:rsidRDefault="00101059" w:rsidP="00256E53">
      <w:pPr>
        <w:pStyle w:val="FootnoteText"/>
      </w:pPr>
      <w:r w:rsidRPr="0057024A">
        <w:rPr>
          <w:rStyle w:val="FootnoteReference"/>
        </w:rPr>
        <w:footnoteRef/>
      </w:r>
      <w:r w:rsidRPr="0057024A">
        <w:t xml:space="preserve"> Williams v. Gaye, 885 F.3d 1150 (9th Cir. 2018).</w:t>
      </w:r>
    </w:p>
  </w:footnote>
  <w:footnote w:id="54">
    <w:p w14:paraId="7D3D5DBA" w14:textId="35D1D0B8"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1164-65 (holding that the song deserves “broad” copyright protection).</w:t>
      </w:r>
    </w:p>
  </w:footnote>
  <w:footnote w:id="55">
    <w:p w14:paraId="11AC315E" w14:textId="5044A197"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 xml:space="preserve">at 1164 (permitting the jury to make that determination); </w:t>
      </w:r>
      <w:r w:rsidRPr="00870275">
        <w:rPr>
          <w:i/>
          <w:iCs/>
        </w:rPr>
        <w:t>see</w:t>
      </w:r>
      <w:r w:rsidRPr="0057024A">
        <w:t xml:space="preserve"> </w:t>
      </w:r>
      <w:r w:rsidRPr="00870275">
        <w:rPr>
          <w:i/>
          <w:iCs/>
        </w:rPr>
        <w:t>also</w:t>
      </w:r>
      <w:r w:rsidRPr="0057024A">
        <w:t xml:space="preserve"> </w:t>
      </w:r>
      <w:r w:rsidRPr="0057024A">
        <w:rPr>
          <w:rFonts w:eastAsia="Times New Roman"/>
        </w:rPr>
        <w:t>Sedlik v. von Drachenberg, Case No. 24-3367 (9th Cir. Jan. 2, 2026).</w:t>
      </w:r>
      <w:r w:rsidRPr="0057024A">
        <w:t xml:space="preserve"> </w:t>
      </w:r>
    </w:p>
  </w:footnote>
  <w:footnote w:id="56">
    <w:p w14:paraId="7B0DC710" w14:textId="0E3ED2CD"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 xml:space="preserve">at 1183 (Nguyen, J., dissenting). </w:t>
      </w:r>
      <w:r w:rsidRPr="00870275">
        <w:rPr>
          <w:i/>
          <w:iCs/>
        </w:rPr>
        <w:t>See</w:t>
      </w:r>
      <w:r w:rsidRPr="0057024A">
        <w:t xml:space="preserve"> </w:t>
      </w:r>
      <w:r w:rsidRPr="00870275">
        <w:rPr>
          <w:i/>
          <w:iCs/>
        </w:rPr>
        <w:t>also</w:t>
      </w:r>
      <w:r w:rsidRPr="0057024A">
        <w:t xml:space="preserve"> Ben Sisario, ‘</w:t>
      </w:r>
      <w:r w:rsidRPr="00DB1753">
        <w:t>Blurred Lines’ Verdict Upheld, Deepening Music Copyright Debate</w:t>
      </w:r>
      <w:r w:rsidRPr="0057024A">
        <w:t>, N.Y. TIMES, Mar. 21, 2018, at C1.</w:t>
      </w:r>
    </w:p>
  </w:footnote>
  <w:footnote w:id="57">
    <w:p w14:paraId="14F86F4E" w14:textId="0AEF83C8" w:rsidR="00101059" w:rsidRPr="0057024A" w:rsidRDefault="00101059" w:rsidP="00256E53">
      <w:pPr>
        <w:pStyle w:val="FootnoteText"/>
      </w:pPr>
      <w:r w:rsidRPr="0057024A">
        <w:rPr>
          <w:rStyle w:val="FootnoteReference"/>
        </w:rPr>
        <w:footnoteRef/>
      </w:r>
      <w:r w:rsidRPr="0057024A">
        <w:t xml:space="preserve"> Griffin v. Sheeran, 559 F.Supp.3d 172 (S.D.N.Y. 2021) (granting defendant's motion in limine limiting claim to musical elements in sheet music deposited with Copyright Office), 632 F. Supp. 3d 192 (S.D.N.Y. 2022) (denying defendants' motion for summary judgment), 673 F.Supp.3d 415 (S.D.N.Y. 2021) (following jury trial, granting summary judgment on reconsideration), 120 F.4th 13, 1066 (2d Cir. 2024) (affirming summary judgment), cert. denied, 145 S. Ct. 2792 (2025).</w:t>
      </w:r>
    </w:p>
  </w:footnote>
  <w:footnote w:id="58">
    <w:p w14:paraId="19D2B8EA" w14:textId="2A137E81" w:rsidR="00101059" w:rsidRPr="0057024A" w:rsidRDefault="00101059" w:rsidP="004574D3">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Fonts w:cs="Times New Roman"/>
        </w:rPr>
        <w:t xml:space="preserve"> </w:t>
      </w:r>
      <w:r>
        <w:rPr>
          <w:rFonts w:ascii="Times New Roman" w:eastAsia="Times New Roman" w:hAnsi="Times New Roman" w:cs="Times New Roman"/>
          <w:i/>
          <w:sz w:val="20"/>
          <w:szCs w:val="20"/>
        </w:rPr>
        <w:t xml:space="preserve">Id. </w:t>
      </w:r>
      <w:r w:rsidRPr="0057024A">
        <w:rPr>
          <w:rFonts w:ascii="Times New Roman" w:eastAsia="Times New Roman" w:hAnsi="Times New Roman" w:cs="Times New Roman"/>
          <w:sz w:val="20"/>
          <w:szCs w:val="20"/>
        </w:rPr>
        <w:t>120 F.4th</w:t>
      </w:r>
      <w:r w:rsidRPr="0057024A">
        <w:rPr>
          <w:rFonts w:ascii="Times New Roman" w:eastAsia="Times New Roman" w:hAnsi="Times New Roman" w:cs="Times New Roman"/>
          <w:sz w:val="20"/>
          <w:szCs w:val="20"/>
          <w:vertAlign w:val="superscript"/>
        </w:rPr>
        <w:t xml:space="preserve"> </w:t>
      </w:r>
      <w:r w:rsidRPr="0057024A">
        <w:rPr>
          <w:rFonts w:ascii="Times New Roman" w:eastAsia="Times New Roman" w:hAnsi="Times New Roman" w:cs="Times New Roman"/>
          <w:sz w:val="20"/>
          <w:szCs w:val="20"/>
        </w:rPr>
        <w:t>at 1072.</w:t>
      </w:r>
    </w:p>
  </w:footnote>
  <w:footnote w:id="59">
    <w:p w14:paraId="30220A37" w14:textId="27D8DEEA"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at 1079-80.</w:t>
      </w:r>
    </w:p>
  </w:footnote>
  <w:footnote w:id="60">
    <w:p w14:paraId="32213B20" w14:textId="3D768F60" w:rsidR="00101059" w:rsidRPr="0057024A" w:rsidRDefault="00101059" w:rsidP="00256E53">
      <w:pPr>
        <w:pStyle w:val="FootnoteText"/>
        <w:rPr>
          <w:b/>
          <w:bCs/>
        </w:rPr>
      </w:pPr>
      <w:r w:rsidRPr="0057024A">
        <w:rPr>
          <w:rStyle w:val="FootnoteReference"/>
        </w:rPr>
        <w:footnoteRef/>
      </w:r>
      <w:r w:rsidRPr="0057024A">
        <w:t xml:space="preserve"> Ben Sisario, </w:t>
      </w:r>
      <w:r w:rsidRPr="00DB1753">
        <w:rPr>
          <w:i/>
          <w:iCs/>
        </w:rPr>
        <w:t>Ed Sheeran Takes the Stand in Copyright Trial</w:t>
      </w:r>
      <w:r w:rsidRPr="0057024A">
        <w:t xml:space="preserve">, N.Y. TIMES, Apr. 25, 2023, at C3; Daniel Welsh, </w:t>
      </w:r>
      <w:r w:rsidRPr="00DB1753">
        <w:rPr>
          <w:bCs/>
          <w:i/>
          <w:iCs/>
        </w:rPr>
        <w:t>Ed Sheeran Recreates The Guitar Performance He Gave In Court During Thinking Out Loud Trial</w:t>
      </w:r>
      <w:r w:rsidRPr="0057024A">
        <w:rPr>
          <w:bCs/>
        </w:rPr>
        <w:t>, Huff</w:t>
      </w:r>
      <w:r>
        <w:rPr>
          <w:bCs/>
        </w:rPr>
        <w:t>P</w:t>
      </w:r>
      <w:r w:rsidRPr="0057024A">
        <w:rPr>
          <w:bCs/>
        </w:rPr>
        <w:t xml:space="preserve">ost, Nov.5, 2023, </w:t>
      </w:r>
      <w:hyperlink r:id="rId1" w:history="1">
        <w:r w:rsidRPr="0057024A">
          <w:rPr>
            <w:rStyle w:val="Hyperlink"/>
            <w:rFonts w:eastAsia="Times New Roman"/>
            <w:bCs/>
          </w:rPr>
          <w:t>https://www.huffingtonpost.co.uk/entry/ed-sheeran-recreates-court-room-performance-guitar_uk_645cc296e4b005be8ff1b967</w:t>
        </w:r>
      </w:hyperlink>
      <w:r w:rsidRPr="0057024A">
        <w:rPr>
          <w:bCs/>
        </w:rPr>
        <w:t xml:space="preserve"> ;</w:t>
      </w:r>
      <w:r w:rsidRPr="0057024A">
        <w:rPr>
          <w:rFonts w:ascii="TimesNewRomanPSMT" w:hAnsi="TimesNewRomanPSMT" w:cs="TimesNewRomanPSMT"/>
          <w:color w:val="1F1F1F"/>
          <w:kern w:val="0"/>
          <w:sz w:val="18"/>
          <w:szCs w:val="18"/>
        </w:rPr>
        <w:t xml:space="preserve"> </w:t>
      </w:r>
      <w:r w:rsidRPr="0057024A">
        <w:rPr>
          <w:bCs/>
        </w:rPr>
        <w:t xml:space="preserve">Adrian Horton, </w:t>
      </w:r>
      <w:r w:rsidRPr="00DB1753">
        <w:rPr>
          <w:bCs/>
          <w:i/>
          <w:iCs/>
        </w:rPr>
        <w:t>Singing in Court to a Dramatic Collapse: Key Moments from the Ed Sheeran Trial</w:t>
      </w:r>
      <w:r w:rsidRPr="0057024A">
        <w:rPr>
          <w:bCs/>
        </w:rPr>
        <w:t xml:space="preserve">, The Guardian, (May 4, 2023), </w:t>
      </w:r>
      <w:hyperlink r:id="rId2" w:history="1">
        <w:r w:rsidRPr="0057024A">
          <w:rPr>
            <w:rStyle w:val="Hyperlink"/>
            <w:rFonts w:eastAsia="Times New Roman"/>
            <w:bCs/>
          </w:rPr>
          <w:t>https://www.theguardian.com/music/2023/may/04/ed-sheeran-trial-marvin-gaye-key-moments</w:t>
        </w:r>
      </w:hyperlink>
      <w:r w:rsidRPr="0057024A">
        <w:rPr>
          <w:bCs/>
        </w:rPr>
        <w:t xml:space="preserve"> ; Ben Rogerson, </w:t>
      </w:r>
      <w:r w:rsidRPr="00DB1753">
        <w:rPr>
          <w:bCs/>
          <w:i/>
          <w:iCs/>
        </w:rPr>
        <w:t>Ed Sheeran shows Howard Stern how he played his guitar to help win the Let’s Get It On case: “You can’t copyright a chord sequence - you just can’t”,</w:t>
      </w:r>
      <w:r>
        <w:rPr>
          <w:bCs/>
        </w:rPr>
        <w:t xml:space="preserve"> M</w:t>
      </w:r>
      <w:r w:rsidRPr="0057024A">
        <w:rPr>
          <w:bCs/>
        </w:rPr>
        <w:t>usic</w:t>
      </w:r>
      <w:r>
        <w:rPr>
          <w:bCs/>
        </w:rPr>
        <w:t>R</w:t>
      </w:r>
      <w:r w:rsidRPr="0057024A">
        <w:rPr>
          <w:bCs/>
        </w:rPr>
        <w:t xml:space="preserve">adar, May 11, 2023, </w:t>
      </w:r>
      <w:hyperlink r:id="rId3" w:history="1">
        <w:r w:rsidRPr="0057024A">
          <w:rPr>
            <w:rStyle w:val="Hyperlink"/>
            <w:rFonts w:eastAsia="Times New Roman"/>
            <w:bCs/>
          </w:rPr>
          <w:t>https://www.musicradar.com/news/ed-sheeran-howard-stern-guitar-medley</w:t>
        </w:r>
      </w:hyperlink>
      <w:r w:rsidRPr="0057024A">
        <w:rPr>
          <w:bCs/>
        </w:rPr>
        <w:t xml:space="preserve"> </w:t>
      </w:r>
      <w:r>
        <w:rPr>
          <w:bCs/>
        </w:rPr>
        <w:t>.</w:t>
      </w:r>
    </w:p>
  </w:footnote>
  <w:footnote w:id="61">
    <w:p w14:paraId="7880CCD7" w14:textId="4BE6D75E" w:rsidR="00101059" w:rsidRPr="0057024A" w:rsidRDefault="00101059" w:rsidP="004574D3">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Style w:val="FootnoteReference"/>
          <w:rFonts w:ascii="Times New Roman" w:hAnsi="Times New Roman"/>
          <w:sz w:val="20"/>
          <w:szCs w:val="20"/>
        </w:rPr>
        <w:t xml:space="preserve"> </w:t>
      </w:r>
      <w:r w:rsidRPr="0057024A">
        <w:rPr>
          <w:rFonts w:ascii="Times New Roman" w:eastAsia="Times New Roman" w:hAnsi="Times New Roman" w:cs="Times New Roman"/>
          <w:sz w:val="20"/>
          <w:szCs w:val="20"/>
        </w:rPr>
        <w:t>Griffin, 120 F.4th</w:t>
      </w:r>
      <w:r w:rsidRPr="0057024A">
        <w:rPr>
          <w:rFonts w:ascii="Times New Roman" w:eastAsia="Times New Roman" w:hAnsi="Times New Roman" w:cs="Times New Roman"/>
          <w:sz w:val="20"/>
          <w:szCs w:val="20"/>
          <w:vertAlign w:val="superscript"/>
        </w:rPr>
        <w:t xml:space="preserve"> </w:t>
      </w:r>
      <w:r w:rsidRPr="0057024A">
        <w:rPr>
          <w:rFonts w:ascii="Times New Roman" w:eastAsia="Times New Roman" w:hAnsi="Times New Roman" w:cs="Times New Roman"/>
          <w:sz w:val="20"/>
          <w:szCs w:val="20"/>
        </w:rPr>
        <w:t>at 1072-73.</w:t>
      </w:r>
    </w:p>
  </w:footnote>
  <w:footnote w:id="62">
    <w:p w14:paraId="5D679842" w14:textId="3BDCE8B4" w:rsidR="00101059" w:rsidRPr="0057024A" w:rsidRDefault="00101059" w:rsidP="00256E53">
      <w:pPr>
        <w:pStyle w:val="FootnoteText"/>
      </w:pPr>
      <w:r w:rsidRPr="0057024A">
        <w:rPr>
          <w:rStyle w:val="FootnoteReference"/>
        </w:rPr>
        <w:footnoteRef/>
      </w:r>
      <w:r w:rsidRPr="0057024A">
        <w:t xml:space="preserve"> Griffin, 673 F.Supp.3d at 424.</w:t>
      </w:r>
    </w:p>
  </w:footnote>
  <w:footnote w:id="63">
    <w:p w14:paraId="1F71439D" w14:textId="02DB7DE9" w:rsidR="00101059" w:rsidRPr="0057024A" w:rsidRDefault="00101059" w:rsidP="00256E53">
      <w:pPr>
        <w:pStyle w:val="FootnoteText"/>
      </w:pPr>
      <w:r w:rsidRPr="0057024A">
        <w:rPr>
          <w:rStyle w:val="FootnoteReference"/>
        </w:rPr>
        <w:footnoteRef/>
      </w:r>
      <w:r w:rsidRPr="0057024A">
        <w:t xml:space="preserve"> </w:t>
      </w:r>
      <w:r w:rsidRPr="00684F08">
        <w:rPr>
          <w:i/>
        </w:rPr>
        <w:t>Id</w:t>
      </w:r>
      <w:r w:rsidRPr="0057024A">
        <w:t xml:space="preserve">. </w:t>
      </w:r>
    </w:p>
  </w:footnote>
  <w:footnote w:id="64">
    <w:p w14:paraId="4B81E038" w14:textId="1A8A0EFC" w:rsidR="00101059" w:rsidRPr="0057024A" w:rsidRDefault="00101059" w:rsidP="00256E53">
      <w:pPr>
        <w:pStyle w:val="FootnoteText"/>
      </w:pPr>
      <w:r w:rsidRPr="0057024A">
        <w:rPr>
          <w:rStyle w:val="FootnoteReference"/>
        </w:rPr>
        <w:footnoteRef/>
      </w:r>
      <w:r w:rsidRPr="0057024A">
        <w:t xml:space="preserve"> Griffin, 120 F.4th</w:t>
      </w:r>
      <w:r w:rsidRPr="0057024A">
        <w:rPr>
          <w:vertAlign w:val="superscript"/>
        </w:rPr>
        <w:t xml:space="preserve"> </w:t>
      </w:r>
      <w:r w:rsidRPr="0057024A">
        <w:t>at 1079.</w:t>
      </w:r>
    </w:p>
  </w:footnote>
  <w:footnote w:id="65">
    <w:p w14:paraId="614260DF" w14:textId="1D584521"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1081.</w:t>
      </w:r>
    </w:p>
  </w:footnote>
  <w:footnote w:id="66">
    <w:p w14:paraId="6B0EE503" w14:textId="0923267B" w:rsidR="00101059" w:rsidRPr="0057024A" w:rsidRDefault="00101059" w:rsidP="00256E53">
      <w:pPr>
        <w:pStyle w:val="FootnoteText"/>
      </w:pPr>
      <w:r w:rsidRPr="0057024A">
        <w:rPr>
          <w:rStyle w:val="FootnoteReference"/>
        </w:rPr>
        <w:footnoteRef/>
      </w:r>
      <w:r w:rsidRPr="0057024A">
        <w:t xml:space="preserve"> Baker v. Selden, 101 U.S. 99 (1879).</w:t>
      </w:r>
    </w:p>
  </w:footnote>
  <w:footnote w:id="67">
    <w:p w14:paraId="35749A8D" w14:textId="0EF25040"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Atari, Inc. v. N. Am. Philips Consumer Elecs. Corp., 672 F.2d 607, 617–17 (7th Cir. 1982) (acknowledging the difficulty in distinguishing between protectable and unprotectable expression and discussing the “total concept and feel” test).</w:t>
      </w:r>
    </w:p>
  </w:footnote>
  <w:footnote w:id="68">
    <w:p w14:paraId="2ED68187" w14:textId="014F32A7" w:rsidR="00101059" w:rsidRPr="0057024A" w:rsidRDefault="00101059" w:rsidP="00256E53">
      <w:pPr>
        <w:pStyle w:val="FootnoteText"/>
      </w:pPr>
      <w:r w:rsidRPr="0057024A">
        <w:rPr>
          <w:rStyle w:val="FootnoteReference"/>
        </w:rPr>
        <w:footnoteRef/>
      </w:r>
      <w:r w:rsidRPr="0057024A">
        <w:t xml:space="preserve"> 17 U.S.C. § 107.</w:t>
      </w:r>
    </w:p>
  </w:footnote>
  <w:footnote w:id="69">
    <w:p w14:paraId="5E2D9D07" w14:textId="37C59278" w:rsidR="00101059" w:rsidRPr="0057024A" w:rsidRDefault="00101059" w:rsidP="00256E53">
      <w:pPr>
        <w:pStyle w:val="FootnoteText"/>
      </w:pPr>
      <w:r w:rsidRPr="0057024A">
        <w:rPr>
          <w:rStyle w:val="FootnoteReference"/>
        </w:rPr>
        <w:footnoteRef/>
      </w:r>
      <w:r w:rsidRPr="0057024A">
        <w:t xml:space="preserve"> Campbell v. Acuff-Rose Music, Inc., 510 U.S. 569, 578–94 (1994) (recognizing that a use may be fair if it “adds something new, with a further purpose or different character, altering the first with new expression, meaning, or message”).</w:t>
      </w:r>
    </w:p>
  </w:footnote>
  <w:footnote w:id="70">
    <w:p w14:paraId="1D2BFEC2" w14:textId="33D3B991" w:rsidR="00101059" w:rsidRPr="0057024A" w:rsidRDefault="00101059" w:rsidP="00256E53">
      <w:pPr>
        <w:pStyle w:val="FootnoteText"/>
      </w:pPr>
      <w:r w:rsidRPr="0057024A">
        <w:rPr>
          <w:rStyle w:val="FootnoteReference"/>
        </w:rPr>
        <w:footnoteRef/>
      </w:r>
      <w:r w:rsidRPr="0057024A">
        <w:t xml:space="preserve"> </w:t>
      </w:r>
      <w:r w:rsidRPr="00684F08">
        <w:rPr>
          <w:i/>
        </w:rPr>
        <w:t>Id</w:t>
      </w:r>
      <w:r w:rsidRPr="0057024A">
        <w:t xml:space="preserve">. </w:t>
      </w:r>
    </w:p>
  </w:footnote>
  <w:footnote w:id="71">
    <w:p w14:paraId="2D495C5C" w14:textId="2105A137" w:rsidR="00101059" w:rsidRPr="0057024A" w:rsidRDefault="00101059" w:rsidP="00256E53">
      <w:pPr>
        <w:pStyle w:val="FootnoteText"/>
      </w:pPr>
      <w:r w:rsidRPr="0057024A">
        <w:rPr>
          <w:rStyle w:val="FootnoteReference"/>
        </w:rPr>
        <w:footnoteRef/>
      </w:r>
      <w:r w:rsidRPr="0057024A">
        <w:t xml:space="preserve"> Warhol Found. for the Visual Arts, Inc. v. Goldsmith, 598 U.S. 508 (2023). Prior to Campbell, the Supreme Court stated that factor four was </w:t>
      </w:r>
      <w:r w:rsidRPr="0057024A">
        <w:rPr>
          <w:kern w:val="0"/>
          <w14:ligatures w14:val="none"/>
        </w:rPr>
        <w:t xml:space="preserve">“undoubtedly the single most important element of fair use.” </w:t>
      </w:r>
      <w:r w:rsidRPr="0057024A">
        <w:t>Harper &amp; Row Publishers v. Nation Enters, 471 U.S. 539, 566 (1985).</w:t>
      </w:r>
    </w:p>
  </w:footnote>
  <w:footnote w:id="72">
    <w:p w14:paraId="69C5F6CC" w14:textId="0232819E" w:rsidR="00101059" w:rsidRPr="0057024A" w:rsidRDefault="00101059" w:rsidP="00256E53">
      <w:pPr>
        <w:pStyle w:val="FootnoteText"/>
      </w:pPr>
      <w:r w:rsidRPr="0057024A">
        <w:rPr>
          <w:rStyle w:val="FootnoteReference"/>
        </w:rPr>
        <w:footnoteRef/>
      </w:r>
      <w:r w:rsidRPr="0057024A">
        <w:t xml:space="preserve"> </w:t>
      </w:r>
      <w:r>
        <w:t>For</w:t>
      </w:r>
      <w:r w:rsidRPr="0057024A">
        <w:t xml:space="preserve"> an excellent discussion </w:t>
      </w:r>
      <w:r>
        <w:t>about</w:t>
      </w:r>
      <w:r w:rsidRPr="0057024A">
        <w:t xml:space="preserve"> how laws around the world approach non</w:t>
      </w:r>
      <w:r>
        <w:t>-</w:t>
      </w:r>
      <w:r w:rsidRPr="0057024A">
        <w:t>expressive use of copyrighted works</w:t>
      </w:r>
      <w:r>
        <w:t xml:space="preserve">, </w:t>
      </w:r>
      <w:r w:rsidRPr="00DB1753">
        <w:rPr>
          <w:i/>
          <w:iCs/>
        </w:rPr>
        <w:t>see</w:t>
      </w:r>
      <w:r>
        <w:t xml:space="preserve"> </w:t>
      </w:r>
      <w:r w:rsidRPr="0057024A">
        <w:t xml:space="preserve">Michael Sag and Peter K. Yu, </w:t>
      </w:r>
      <w:r w:rsidRPr="00DB1753">
        <w:rPr>
          <w:i/>
          <w:iCs/>
        </w:rPr>
        <w:t>The Globalization of Copyright Exceptions for AI Training</w:t>
      </w:r>
      <w:r w:rsidRPr="0057024A">
        <w:t xml:space="preserve">, 74 </w:t>
      </w:r>
      <w:r w:rsidRPr="0057024A">
        <w:rPr>
          <w:smallCaps/>
        </w:rPr>
        <w:t>Emory L.J</w:t>
      </w:r>
      <w:r w:rsidRPr="0057024A">
        <w:t xml:space="preserve">. 1163, 1178-97 (2025). They compare the </w:t>
      </w:r>
      <w:r w:rsidRPr="00937B8E">
        <w:rPr>
          <w:i/>
        </w:rPr>
        <w:t>very</w:t>
      </w:r>
      <w:r w:rsidRPr="0057024A">
        <w:t xml:space="preserve"> similar fair use law of Israel and the similar fair use laws of Liberia, Malaysia, the Philippines, Singapore, South Korea, Sri Lanka and Taiwan. They also explore some additional approaches taken in Japan, the UK, the EU, Singapore, China, and the UAE. </w:t>
      </w:r>
      <w:r w:rsidRPr="00937B8E">
        <w:rPr>
          <w:i/>
        </w:rPr>
        <w:t>Id</w:t>
      </w:r>
      <w:r>
        <w:t>.</w:t>
      </w:r>
    </w:p>
  </w:footnote>
  <w:footnote w:id="73">
    <w:p w14:paraId="02F41EFE" w14:textId="25DA63A5" w:rsidR="00101059" w:rsidRPr="0057024A" w:rsidRDefault="00101059" w:rsidP="00256E53">
      <w:pPr>
        <w:pStyle w:val="FootnoteText"/>
      </w:pPr>
      <w:r w:rsidRPr="0057024A">
        <w:rPr>
          <w:rStyle w:val="FootnoteReference"/>
        </w:rPr>
        <w:footnoteRef/>
      </w:r>
      <w:r w:rsidRPr="0057024A">
        <w:t xml:space="preserve"> Campbell, 510 U.S. at 579 (holding that parody can be transformative even when commercial).</w:t>
      </w:r>
    </w:p>
  </w:footnote>
  <w:footnote w:id="74">
    <w:p w14:paraId="6A559ECF" w14:textId="5E60BF01" w:rsidR="00101059" w:rsidRPr="0057024A" w:rsidRDefault="00101059" w:rsidP="00822D82">
      <w:pPr>
        <w:spacing w:after="0" w:line="240" w:lineRule="auto"/>
        <w:rPr>
          <w:rFonts w:ascii="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Fonts w:cs="Times New Roman"/>
        </w:rPr>
        <w:t xml:space="preserve"> </w:t>
      </w:r>
      <w:r w:rsidRPr="0057024A">
        <w:rPr>
          <w:rFonts w:ascii="Times New Roman" w:hAnsi="Times New Roman" w:cs="Times New Roman"/>
          <w:i/>
          <w:sz w:val="20"/>
          <w:szCs w:val="20"/>
        </w:rPr>
        <w:t>Id.</w:t>
      </w:r>
      <w:r w:rsidRPr="0057024A">
        <w:rPr>
          <w:rFonts w:ascii="Times New Roman" w:hAnsi="Times New Roman" w:cs="Times New Roman"/>
          <w:sz w:val="20"/>
          <w:szCs w:val="20"/>
        </w:rPr>
        <w:t xml:space="preserve">; </w:t>
      </w:r>
      <w:r w:rsidRPr="00870275">
        <w:rPr>
          <w:rFonts w:ascii="Times New Roman" w:hAnsi="Times New Roman" w:cs="Times New Roman"/>
          <w:i/>
          <w:sz w:val="20"/>
          <w:szCs w:val="20"/>
        </w:rPr>
        <w:t>see</w:t>
      </w:r>
      <w:r w:rsidRPr="0057024A">
        <w:rPr>
          <w:rFonts w:ascii="Times New Roman" w:hAnsi="Times New Roman" w:cs="Times New Roman"/>
          <w:sz w:val="20"/>
          <w:szCs w:val="20"/>
        </w:rPr>
        <w:t xml:space="preserve"> </w:t>
      </w:r>
      <w:r w:rsidRPr="0081171F">
        <w:rPr>
          <w:rFonts w:ascii="Times New Roman" w:hAnsi="Times New Roman" w:cs="Times New Roman"/>
          <w:i/>
          <w:sz w:val="20"/>
          <w:szCs w:val="20"/>
        </w:rPr>
        <w:t>generally</w:t>
      </w:r>
      <w:r w:rsidRPr="0057024A">
        <w:rPr>
          <w:rFonts w:ascii="Times New Roman" w:hAnsi="Times New Roman" w:cs="Times New Roman"/>
          <w:sz w:val="20"/>
          <w:szCs w:val="20"/>
        </w:rPr>
        <w:t xml:space="preserve"> Pamela Samuelson, </w:t>
      </w:r>
      <w:r w:rsidRPr="00DB1753">
        <w:rPr>
          <w:rFonts w:ascii="Times New Roman" w:hAnsi="Times New Roman" w:cs="Times New Roman"/>
          <w:i/>
          <w:iCs/>
          <w:sz w:val="20"/>
          <w:szCs w:val="20"/>
        </w:rPr>
        <w:t>Unbundling Fair Uses</w:t>
      </w:r>
      <w:r w:rsidRPr="0057024A">
        <w:rPr>
          <w:rFonts w:ascii="Times New Roman" w:hAnsi="Times New Roman" w:cs="Times New Roman"/>
          <w:sz w:val="20"/>
          <w:szCs w:val="20"/>
        </w:rPr>
        <w:t xml:space="preserve">, 77 </w:t>
      </w:r>
      <w:r w:rsidRPr="005A264C">
        <w:rPr>
          <w:rFonts w:ascii="Times New Roman" w:hAnsi="Times New Roman" w:cs="Times New Roman"/>
          <w:smallCaps/>
          <w:sz w:val="20"/>
          <w:szCs w:val="20"/>
        </w:rPr>
        <w:t>Fordham L. Rev</w:t>
      </w:r>
      <w:r w:rsidRPr="0057024A">
        <w:rPr>
          <w:rFonts w:ascii="Times New Roman" w:hAnsi="Times New Roman" w:cs="Times New Roman"/>
          <w:sz w:val="20"/>
          <w:szCs w:val="20"/>
        </w:rPr>
        <w:t>. 2537, 2602-15 (2009) (tracing the expansion of transformative use in technological contexts).</w:t>
      </w:r>
    </w:p>
  </w:footnote>
  <w:footnote w:id="75">
    <w:p w14:paraId="71BA4F4E" w14:textId="0BF672C8" w:rsidR="00101059" w:rsidRPr="0057024A" w:rsidRDefault="00101059" w:rsidP="00256E53">
      <w:pPr>
        <w:pStyle w:val="FootnoteText"/>
      </w:pPr>
      <w:r w:rsidRPr="0057024A">
        <w:rPr>
          <w:rStyle w:val="FootnoteReference"/>
        </w:rPr>
        <w:footnoteRef/>
      </w:r>
      <w:r w:rsidRPr="0057024A">
        <w:t xml:space="preserve"> Bill Graham Archives v. Dorling Kindersley Ltd., 448 F.3d 605, 609–12 (2d Cir. 2006) (</w:t>
      </w:r>
      <w:r>
        <w:t xml:space="preserve">holding that </w:t>
      </w:r>
      <w:r w:rsidRPr="0057024A">
        <w:t>use of reduced concert posters as timeline illustrations served a distinct historical purpose and did not substitute for the originals).</w:t>
      </w:r>
    </w:p>
  </w:footnote>
  <w:footnote w:id="76">
    <w:p w14:paraId="13814798" w14:textId="72F7417E" w:rsidR="00101059" w:rsidRPr="0057024A" w:rsidRDefault="00101059" w:rsidP="0046081C">
      <w:pPr>
        <w:spacing w:after="0" w:line="240" w:lineRule="auto"/>
        <w:rPr>
          <w:rFonts w:ascii="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Fonts w:cs="Times New Roman"/>
        </w:rPr>
        <w:t xml:space="preserve"> </w:t>
      </w:r>
      <w:r w:rsidRPr="0057024A">
        <w:rPr>
          <w:rFonts w:ascii="Times New Roman" w:hAnsi="Times New Roman" w:cs="Times New Roman"/>
          <w:sz w:val="20"/>
          <w:szCs w:val="20"/>
        </w:rPr>
        <w:t xml:space="preserve">Authors Guild v. Google, Inc., 804 F.3d 202, 217–26 (2d Cir. 2015) </w:t>
      </w:r>
      <w:r>
        <w:rPr>
          <w:rFonts w:ascii="Times New Roman" w:hAnsi="Times New Roman" w:cs="Times New Roman"/>
          <w:sz w:val="20"/>
          <w:szCs w:val="20"/>
        </w:rPr>
        <w:t xml:space="preserve">(holding that </w:t>
      </w:r>
      <w:r w:rsidRPr="0057024A">
        <w:rPr>
          <w:rFonts w:ascii="Times New Roman" w:hAnsi="Times New Roman" w:cs="Times New Roman"/>
          <w:sz w:val="20"/>
          <w:szCs w:val="20"/>
        </w:rPr>
        <w:t xml:space="preserve">full-text scanning and snippet display were “highly transformative” search uses and did not cause market substitution) [hereinafter </w:t>
      </w:r>
      <w:r w:rsidRPr="00DB1753">
        <w:rPr>
          <w:rFonts w:ascii="Times New Roman" w:hAnsi="Times New Roman" w:cs="Times New Roman"/>
          <w:i/>
          <w:iCs/>
          <w:sz w:val="20"/>
          <w:szCs w:val="20"/>
        </w:rPr>
        <w:t>Google Books</w:t>
      </w:r>
      <w:r w:rsidRPr="0057024A">
        <w:rPr>
          <w:rFonts w:ascii="Times New Roman" w:hAnsi="Times New Roman" w:cs="Times New Roman"/>
          <w:sz w:val="20"/>
          <w:szCs w:val="20"/>
        </w:rPr>
        <w:t xml:space="preserve">]; </w:t>
      </w:r>
      <w:r w:rsidRPr="00870275">
        <w:rPr>
          <w:rFonts w:ascii="Times New Roman" w:hAnsi="Times New Roman" w:cs="Times New Roman"/>
          <w:i/>
          <w:sz w:val="20"/>
          <w:szCs w:val="20"/>
        </w:rPr>
        <w:t>see</w:t>
      </w:r>
      <w:r w:rsidRPr="0057024A">
        <w:rPr>
          <w:rFonts w:ascii="Times New Roman" w:hAnsi="Times New Roman" w:cs="Times New Roman"/>
          <w:sz w:val="20"/>
          <w:szCs w:val="20"/>
        </w:rPr>
        <w:t xml:space="preserve"> </w:t>
      </w:r>
      <w:r w:rsidRPr="00870275">
        <w:rPr>
          <w:rFonts w:ascii="Times New Roman" w:hAnsi="Times New Roman" w:cs="Times New Roman"/>
          <w:i/>
          <w:sz w:val="20"/>
          <w:szCs w:val="20"/>
        </w:rPr>
        <w:t>also</w:t>
      </w:r>
      <w:r w:rsidRPr="0057024A">
        <w:rPr>
          <w:rFonts w:ascii="Times New Roman" w:hAnsi="Times New Roman" w:cs="Times New Roman"/>
          <w:sz w:val="20"/>
          <w:szCs w:val="20"/>
        </w:rPr>
        <w:t xml:space="preserve"> Kelly v. Arriba Soft Corp., 336 F.3d 811, 818–22 (9th Cir. 2003) (thumbnail search images transformative because they served an informational purpose distinct from the originals); Perfect 10, Inc. v. Amazon.com, Inc., 508 F.3d 1146, 1165–68 (9th Cir. 2007) (</w:t>
      </w:r>
      <w:r>
        <w:rPr>
          <w:rFonts w:ascii="Times New Roman" w:hAnsi="Times New Roman" w:cs="Times New Roman"/>
          <w:sz w:val="20"/>
          <w:szCs w:val="20"/>
        </w:rPr>
        <w:t xml:space="preserve">holding that </w:t>
      </w:r>
      <w:r w:rsidRPr="0057024A">
        <w:rPr>
          <w:rFonts w:ascii="Times New Roman" w:hAnsi="Times New Roman" w:cs="Times New Roman"/>
          <w:sz w:val="20"/>
          <w:szCs w:val="20"/>
        </w:rPr>
        <w:t xml:space="preserve">image-search indexing constituted a transformative use furthering public access to information); </w:t>
      </w:r>
      <w:r w:rsidRPr="00870275">
        <w:rPr>
          <w:rFonts w:ascii="Times New Roman" w:hAnsi="Times New Roman" w:cs="Times New Roman"/>
          <w:i/>
          <w:sz w:val="20"/>
          <w:szCs w:val="20"/>
        </w:rPr>
        <w:t>see</w:t>
      </w:r>
      <w:r w:rsidRPr="0057024A">
        <w:rPr>
          <w:rFonts w:ascii="Times New Roman" w:hAnsi="Times New Roman" w:cs="Times New Roman"/>
          <w:sz w:val="20"/>
          <w:szCs w:val="20"/>
        </w:rPr>
        <w:t xml:space="preserve"> Samuelson, </w:t>
      </w:r>
      <w:r w:rsidRPr="00A83C40">
        <w:rPr>
          <w:rFonts w:ascii="Times New Roman" w:hAnsi="Times New Roman" w:cs="Times New Roman"/>
          <w:i/>
          <w:sz w:val="20"/>
          <w:szCs w:val="20"/>
        </w:rPr>
        <w:t xml:space="preserve">supra </w:t>
      </w:r>
      <w:r w:rsidRPr="0057024A">
        <w:rPr>
          <w:rFonts w:ascii="Times New Roman" w:hAnsi="Times New Roman" w:cs="Times New Roman"/>
          <w:sz w:val="20"/>
          <w:szCs w:val="20"/>
        </w:rPr>
        <w:t>note 7</w:t>
      </w:r>
      <w:r>
        <w:rPr>
          <w:rFonts w:ascii="Times New Roman" w:hAnsi="Times New Roman" w:cs="Times New Roman"/>
          <w:sz w:val="20"/>
          <w:szCs w:val="20"/>
        </w:rPr>
        <w:t>4</w:t>
      </w:r>
      <w:r w:rsidRPr="0057024A">
        <w:rPr>
          <w:rFonts w:ascii="Times New Roman" w:hAnsi="Times New Roman" w:cs="Times New Roman"/>
          <w:sz w:val="20"/>
          <w:szCs w:val="20"/>
        </w:rPr>
        <w:t>, at 2602-2615.</w:t>
      </w:r>
    </w:p>
  </w:footnote>
  <w:footnote w:id="77">
    <w:p w14:paraId="15E78CB8" w14:textId="03EB4227" w:rsidR="00101059" w:rsidRPr="0057024A" w:rsidRDefault="00101059" w:rsidP="00256E53">
      <w:pPr>
        <w:pStyle w:val="FootnoteText"/>
      </w:pPr>
      <w:r w:rsidRPr="0057024A">
        <w:rPr>
          <w:rStyle w:val="FootnoteReference"/>
        </w:rPr>
        <w:footnoteRef/>
      </w:r>
      <w:r w:rsidRPr="0057024A">
        <w:t xml:space="preserve"> </w:t>
      </w:r>
      <w:r w:rsidRPr="00DB1753">
        <w:rPr>
          <w:i/>
          <w:iCs/>
        </w:rPr>
        <w:t>Google Books</w:t>
      </w:r>
      <w:r w:rsidRPr="0057024A">
        <w:t>, 804 F.3d at 217-25.</w:t>
      </w:r>
    </w:p>
  </w:footnote>
  <w:footnote w:id="78">
    <w:p w14:paraId="236EC097" w14:textId="77777777" w:rsidR="00101059" w:rsidRPr="0057024A" w:rsidRDefault="00101059" w:rsidP="00256E53">
      <w:pPr>
        <w:pStyle w:val="FootnoteText"/>
      </w:pPr>
      <w:r w:rsidRPr="0057024A">
        <w:rPr>
          <w:rStyle w:val="FootnoteReference"/>
        </w:rPr>
        <w:footnoteRef/>
      </w:r>
      <w:r w:rsidRPr="0057024A">
        <w:t xml:space="preserve"> Campbell, 510 U.S. 569, 579–94 (1994).</w:t>
      </w:r>
    </w:p>
  </w:footnote>
  <w:footnote w:id="79">
    <w:p w14:paraId="6ADF2FAE" w14:textId="1DF6B818"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 xml:space="preserve">at 279; </w:t>
      </w:r>
      <w:r w:rsidRPr="00870275">
        <w:rPr>
          <w:i/>
          <w:iCs/>
        </w:rPr>
        <w:t>see</w:t>
      </w:r>
      <w:r w:rsidRPr="0057024A">
        <w:t xml:space="preserve"> Bleistein v. Donaldson Lithographing Co., 188 U.S. 239, 250–52 (1903) (warning courts against acting as art critics while affirming protection for original expression</w:t>
      </w:r>
      <w:r w:rsidRPr="0057024A">
        <w:rPr>
          <w:rFonts w:eastAsia="Times New Roman"/>
          <w:kern w:val="0"/>
          <w14:ligatures w14:val="none"/>
        </w:rPr>
        <w:t>).</w:t>
      </w:r>
    </w:p>
  </w:footnote>
  <w:footnote w:id="80">
    <w:p w14:paraId="0F35035A" w14:textId="5A17AD8F" w:rsidR="00101059" w:rsidRPr="0057024A" w:rsidRDefault="00101059" w:rsidP="00256E53">
      <w:pPr>
        <w:pStyle w:val="FootnoteText"/>
      </w:pPr>
      <w:r w:rsidRPr="0057024A">
        <w:rPr>
          <w:rStyle w:val="FootnoteReference"/>
        </w:rPr>
        <w:footnoteRef/>
      </w:r>
      <w:r w:rsidRPr="0057024A">
        <w:t xml:space="preserve"> Bridgeport Music, Inc. v. Dimension Films, 410 F.3d 792, 800–05 (6th Cir. 2005) (holding that any unlicensed sampling of a sound recording infringes, without a de minimis defense).</w:t>
      </w:r>
    </w:p>
  </w:footnote>
  <w:footnote w:id="81">
    <w:p w14:paraId="7FCE3EC7" w14:textId="14A2C3BB" w:rsidR="00101059" w:rsidRPr="0057024A" w:rsidRDefault="00101059" w:rsidP="00256E53">
      <w:pPr>
        <w:pStyle w:val="FootnoteText"/>
      </w:pPr>
      <w:r w:rsidRPr="0057024A">
        <w:rPr>
          <w:rStyle w:val="FootnoteReference"/>
        </w:rPr>
        <w:footnoteRef/>
      </w:r>
      <w:r w:rsidRPr="0057024A">
        <w:t xml:space="preserve"> VMG Salsoul, LLC v. Ciccone, 824 F.3d 871, 878–84 (9th Cir. 2016) (rejecting Bridgeport and holding that de minimis sampling was not infringing because the copied horn hit lacked expressive significance).</w:t>
      </w:r>
    </w:p>
  </w:footnote>
  <w:footnote w:id="82">
    <w:p w14:paraId="264B4325" w14:textId="377BA700" w:rsidR="00101059" w:rsidRPr="0057024A" w:rsidRDefault="00101059" w:rsidP="00256E53">
      <w:pPr>
        <w:pStyle w:val="FootnoteText"/>
      </w:pPr>
      <w:r w:rsidRPr="0057024A">
        <w:rPr>
          <w:rStyle w:val="FootnoteReference"/>
        </w:rPr>
        <w:footnoteRef/>
      </w:r>
      <w:r w:rsidRPr="0057024A">
        <w:t xml:space="preserve"> Bridgeport, 410 F.3d at 801.</w:t>
      </w:r>
    </w:p>
  </w:footnote>
  <w:footnote w:id="83">
    <w:p w14:paraId="305B96D1" w14:textId="3A9A8BA4" w:rsidR="00101059" w:rsidRPr="0057024A" w:rsidRDefault="00101059" w:rsidP="00256E53">
      <w:pPr>
        <w:pStyle w:val="FootnoteText"/>
      </w:pPr>
      <w:r w:rsidRPr="0057024A">
        <w:rPr>
          <w:rStyle w:val="FootnoteReference"/>
        </w:rPr>
        <w:footnoteRef/>
      </w:r>
      <w:r w:rsidRPr="0057024A">
        <w:t xml:space="preserve"> VMG Salsoul, 824 F.3d at 878-84.</w:t>
      </w:r>
    </w:p>
  </w:footnote>
  <w:footnote w:id="84">
    <w:p w14:paraId="334F8645" w14:textId="2373E2B7" w:rsidR="00101059" w:rsidRPr="0057024A" w:rsidRDefault="00101059" w:rsidP="00256E53">
      <w:pPr>
        <w:pStyle w:val="FootnoteText"/>
      </w:pPr>
      <w:r w:rsidRPr="0057024A">
        <w:rPr>
          <w:rStyle w:val="FootnoteReference"/>
        </w:rPr>
        <w:footnoteRef/>
      </w:r>
      <w:r w:rsidRPr="0057024A">
        <w:t xml:space="preserve"> Authors Guild v. Google, Inc, 804 F.3d 202, 217-25 (2d Cir. 2015) (“The purpose of the copying is highly transformative … enabling a search function that did not previously exist.”).</w:t>
      </w:r>
    </w:p>
  </w:footnote>
  <w:footnote w:id="85">
    <w:p w14:paraId="6C7A808A" w14:textId="60C865BC" w:rsidR="00101059" w:rsidRPr="0057024A" w:rsidRDefault="00101059" w:rsidP="00256E53">
      <w:pPr>
        <w:pStyle w:val="FootnoteText"/>
      </w:pPr>
      <w:r w:rsidRPr="0057024A">
        <w:rPr>
          <w:rStyle w:val="FootnoteReference"/>
        </w:rPr>
        <w:footnoteRef/>
      </w:r>
      <w:r w:rsidRPr="0057024A">
        <w:t xml:space="preserve"> Andy Warhol Found. for the Visual Arts, Inc. v. Goldsmith, 598 U.S. 508, 522–26, 531–33 (2023) (</w:t>
      </w:r>
      <w:r>
        <w:t xml:space="preserve">holding that </w:t>
      </w:r>
      <w:r w:rsidRPr="0057024A">
        <w:t>transformative analysis must assess “the specific use at issue,” and overlapping licensing markets weighed against fair use).</w:t>
      </w:r>
    </w:p>
  </w:footnote>
  <w:footnote w:id="86">
    <w:p w14:paraId="3F9B2820" w14:textId="408C7629"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541.</w:t>
      </w:r>
    </w:p>
  </w:footnote>
  <w:footnote w:id="87">
    <w:p w14:paraId="16F516D4" w14:textId="679DD2D7"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 xml:space="preserve">at 515–17; </w:t>
      </w:r>
      <w:r w:rsidRPr="00870275">
        <w:rPr>
          <w:i/>
          <w:iCs/>
        </w:rPr>
        <w:t>see</w:t>
      </w:r>
      <w:r w:rsidRPr="0057024A">
        <w:t xml:space="preserve"> </w:t>
      </w:r>
      <w:r w:rsidRPr="00870275">
        <w:rPr>
          <w:i/>
          <w:iCs/>
        </w:rPr>
        <w:t>also</w:t>
      </w:r>
      <w:r w:rsidRPr="0057024A">
        <w:t xml:space="preserve"> Lynn Goldsmith, Statement on the Supreme Court’s Decision, May 18, 2023 (explaining the original </w:t>
      </w:r>
      <w:r w:rsidRPr="00DB1753">
        <w:rPr>
          <w:i/>
          <w:iCs/>
        </w:rPr>
        <w:t>Vanity Fair</w:t>
      </w:r>
      <w:r w:rsidRPr="0057024A">
        <w:t xml:space="preserve"> license and later </w:t>
      </w:r>
      <w:r w:rsidRPr="00DB1753">
        <w:rPr>
          <w:i/>
          <w:iCs/>
        </w:rPr>
        <w:t>Condé Nast</w:t>
      </w:r>
      <w:r w:rsidRPr="0057024A">
        <w:t xml:space="preserve"> dispute).</w:t>
      </w:r>
    </w:p>
  </w:footnote>
  <w:footnote w:id="88">
    <w:p w14:paraId="53798554" w14:textId="2CAE7B0B"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523-28.</w:t>
      </w:r>
    </w:p>
  </w:footnote>
  <w:footnote w:id="89">
    <w:p w14:paraId="77FCB7D6" w14:textId="3CB30EEB"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533–41.</w:t>
      </w:r>
    </w:p>
  </w:footnote>
  <w:footnote w:id="90">
    <w:p w14:paraId="6BF0A290" w14:textId="5C10B49D"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Amy Adler, </w:t>
      </w:r>
      <w:r w:rsidRPr="00DB1753">
        <w:rPr>
          <w:i/>
          <w:iCs/>
        </w:rPr>
        <w:t>Why Courts Should Not Interpret the Meaning of Art</w:t>
      </w:r>
      <w:r w:rsidRPr="0057024A">
        <w:t xml:space="preserve">, 42 </w:t>
      </w:r>
      <w:r w:rsidRPr="0057024A">
        <w:rPr>
          <w:smallCaps/>
        </w:rPr>
        <w:t>Cardozo Arts &amp; Ent. L.J. 655, 662 (2024) (“</w:t>
      </w:r>
      <w:r w:rsidRPr="0057024A">
        <w:t>The Warhol Court diminished the importance of an inquiry into whether a work was transformative.”).</w:t>
      </w:r>
    </w:p>
  </w:footnote>
  <w:footnote w:id="91">
    <w:p w14:paraId="5DDDC492" w14:textId="6C973941" w:rsidR="00101059" w:rsidRPr="0057024A" w:rsidRDefault="00101059" w:rsidP="00256E53">
      <w:pPr>
        <w:pStyle w:val="FootnoteText"/>
      </w:pPr>
      <w:r w:rsidRPr="0057024A">
        <w:rPr>
          <w:rStyle w:val="FootnoteReference"/>
        </w:rPr>
        <w:footnoteRef/>
      </w:r>
      <w:r w:rsidRPr="0057024A">
        <w:t xml:space="preserve"> Warhol, 598 U.S. at 525–27; Campbell, 510 U.S. at 579.</w:t>
      </w:r>
    </w:p>
  </w:footnote>
  <w:footnote w:id="92">
    <w:p w14:paraId="338ED44E" w14:textId="12A2B502" w:rsidR="00101059" w:rsidRPr="0057024A" w:rsidRDefault="00101059" w:rsidP="00256E53">
      <w:pPr>
        <w:pStyle w:val="FootnoteText"/>
      </w:pPr>
      <w:r w:rsidRPr="0057024A">
        <w:rPr>
          <w:rStyle w:val="FootnoteReference"/>
        </w:rPr>
        <w:footnoteRef/>
      </w:r>
      <w:r w:rsidRPr="0057024A">
        <w:t xml:space="preserve"> </w:t>
      </w:r>
      <w:r w:rsidRPr="00DB1753">
        <w:rPr>
          <w:i/>
          <w:iCs/>
        </w:rPr>
        <w:t>Google Books</w:t>
      </w:r>
      <w:r w:rsidRPr="0057024A">
        <w:t>, 804 at 217–26; Warhol, 598 U.S. at 523–28.</w:t>
      </w:r>
    </w:p>
  </w:footnote>
  <w:footnote w:id="93">
    <w:p w14:paraId="59C779BB" w14:textId="674EF012" w:rsidR="00101059" w:rsidRPr="0057024A" w:rsidRDefault="00101059" w:rsidP="00256E53">
      <w:pPr>
        <w:pStyle w:val="FootnoteText"/>
      </w:pPr>
      <w:r w:rsidRPr="0057024A">
        <w:rPr>
          <w:rStyle w:val="FootnoteReference"/>
        </w:rPr>
        <w:footnoteRef/>
      </w:r>
      <w:r w:rsidRPr="0057024A">
        <w:t xml:space="preserve"> Warhol, 598 U.S. at 531–33. Some scholars are happy with this result and some are not; </w:t>
      </w:r>
      <w:r w:rsidRPr="002023B2">
        <w:rPr>
          <w:i/>
        </w:rPr>
        <w:t>compare</w:t>
      </w:r>
      <w:r w:rsidRPr="0057024A">
        <w:t xml:space="preserve"> Shyamkrishna and Peter S. Menell, </w:t>
      </w:r>
      <w:r w:rsidRPr="00DB1753">
        <w:rPr>
          <w:i/>
          <w:iCs/>
        </w:rPr>
        <w:t>Going “Beyond” Mere Transformation: Warhol and Reconciliation of the Derivative Work Right and Fair Use</w:t>
      </w:r>
      <w:r w:rsidRPr="0057024A">
        <w:t xml:space="preserve">, 47 </w:t>
      </w:r>
      <w:r w:rsidRPr="0057024A">
        <w:rPr>
          <w:smallCaps/>
        </w:rPr>
        <w:t>Colum. J.L. &amp; Arts</w:t>
      </w:r>
      <w:r w:rsidRPr="0057024A">
        <w:t xml:space="preserve"> 413 (2024) </w:t>
      </w:r>
      <w:r w:rsidRPr="002023B2">
        <w:rPr>
          <w:i/>
        </w:rPr>
        <w:t>with</w:t>
      </w:r>
      <w:r w:rsidRPr="0057024A">
        <w:t xml:space="preserve"> Mark A. Lemley and Rebecca Tushnet, </w:t>
      </w:r>
      <w:r w:rsidRPr="00DB1753">
        <w:rPr>
          <w:i/>
          <w:iCs/>
        </w:rPr>
        <w:t>First Amendment Neglect in Supreme Court Intellectual Property Cases</w:t>
      </w:r>
      <w:r w:rsidRPr="0057024A">
        <w:t>, 2023 Sup. Ct. Rev. 85 (2023).</w:t>
      </w:r>
    </w:p>
  </w:footnote>
  <w:footnote w:id="94">
    <w:p w14:paraId="30843653" w14:textId="020D4F2B" w:rsidR="00101059" w:rsidRPr="0057024A" w:rsidRDefault="00101059" w:rsidP="00256E53">
      <w:pPr>
        <w:pStyle w:val="FootnoteText"/>
      </w:pPr>
      <w:r w:rsidRPr="0057024A">
        <w:rPr>
          <w:rStyle w:val="FootnoteReference"/>
        </w:rPr>
        <w:footnoteRef/>
      </w:r>
      <w:r w:rsidRPr="0057024A">
        <w:t xml:space="preserve"> Harper &amp; Row Publishers v. Nation Enters, 471 U.S. 539, 566 (1985).</w:t>
      </w:r>
    </w:p>
  </w:footnote>
  <w:footnote w:id="95">
    <w:p w14:paraId="02E9321B" w14:textId="3B9AF5C5" w:rsidR="00101059" w:rsidRPr="0057024A" w:rsidRDefault="00101059" w:rsidP="00256E53">
      <w:pPr>
        <w:pStyle w:val="FootnoteText"/>
      </w:pPr>
      <w:r w:rsidRPr="0057024A">
        <w:rPr>
          <w:rStyle w:val="FootnoteReference"/>
        </w:rPr>
        <w:footnoteRef/>
      </w:r>
      <w:r w:rsidRPr="0057024A">
        <w:t xml:space="preserve"> </w:t>
      </w:r>
      <w:r w:rsidRPr="00684F08">
        <w:rPr>
          <w:i/>
        </w:rPr>
        <w:t>Google Books</w:t>
      </w:r>
      <w:r w:rsidRPr="0057024A">
        <w:t>, 804 F.3d at 217–26.</w:t>
      </w:r>
    </w:p>
  </w:footnote>
  <w:footnote w:id="96">
    <w:p w14:paraId="315F9D14" w14:textId="34D1B3DB" w:rsidR="00101059" w:rsidRPr="0057024A" w:rsidRDefault="00101059" w:rsidP="00256E53">
      <w:pPr>
        <w:pStyle w:val="FootnoteText"/>
      </w:pPr>
      <w:r w:rsidRPr="0057024A">
        <w:rPr>
          <w:rStyle w:val="FootnoteReference"/>
        </w:rPr>
        <w:footnoteRef/>
      </w:r>
      <w:r>
        <w:t xml:space="preserve"> </w:t>
      </w:r>
      <w:r>
        <w:rPr>
          <w:i/>
          <w:iCs/>
        </w:rPr>
        <w:t>S</w:t>
      </w:r>
      <w:r w:rsidRPr="00870275">
        <w:rPr>
          <w:i/>
          <w:iCs/>
        </w:rPr>
        <w:t>ee</w:t>
      </w:r>
      <w:r w:rsidRPr="0057024A">
        <w:t xml:space="preserve"> Jennifer Rothman’s extensive history and analysis of the right of publicity’s journey into the realm of intellectual property law, Jennifer E. Rothman, </w:t>
      </w:r>
      <w:r w:rsidRPr="00DB1753">
        <w:rPr>
          <w:i/>
          <w:iCs/>
        </w:rPr>
        <w:t>The Right of Publicity’s Intellectual Property Turn</w:t>
      </w:r>
      <w:r w:rsidRPr="0057024A">
        <w:t xml:space="preserve">, 42 </w:t>
      </w:r>
      <w:r w:rsidRPr="0057024A">
        <w:rPr>
          <w:smallCaps/>
        </w:rPr>
        <w:t>Colum. J.L. &amp; Arts</w:t>
      </w:r>
      <w:r w:rsidRPr="0057024A">
        <w:t xml:space="preserve"> 277 (2019)</w:t>
      </w:r>
      <w:r>
        <w:t xml:space="preserve">; Rothman’s RoadMap to the Right of Publicity, </w:t>
      </w:r>
      <w:hyperlink r:id="rId4" w:history="1">
        <w:r w:rsidRPr="00097494">
          <w:rPr>
            <w:rStyle w:val="Hyperlink"/>
          </w:rPr>
          <w:t>https://rightofpublicityroadmap.com/</w:t>
        </w:r>
      </w:hyperlink>
      <w:r>
        <w:t xml:space="preserve"> ;</w:t>
      </w:r>
      <w:r w:rsidRPr="009F3D1A">
        <w:rPr>
          <w:i/>
          <w:iCs/>
        </w:rPr>
        <w:t xml:space="preserve"> </w:t>
      </w:r>
      <w:r w:rsidRPr="0057024A">
        <w:t xml:space="preserve">Blanke, </w:t>
      </w:r>
      <w:r w:rsidRPr="00A83C40">
        <w:rPr>
          <w:i/>
          <w:iCs/>
        </w:rPr>
        <w:t xml:space="preserve">supra </w:t>
      </w:r>
      <w:r w:rsidRPr="0057024A">
        <w:t>note 2</w:t>
      </w:r>
      <w:r w:rsidR="00F97B60">
        <w:t>,</w:t>
      </w:r>
      <w:r w:rsidRPr="0057024A">
        <w:t xml:space="preserve"> at </w:t>
      </w:r>
      <w:r w:rsidR="00DE2C41">
        <w:t>61-65</w:t>
      </w:r>
      <w:r w:rsidRPr="0057024A">
        <w:t xml:space="preserve"> (discussing the intersections between and among copyright law, the right of publicity, and the First Amendment)</w:t>
      </w:r>
      <w:r>
        <w:t>.</w:t>
      </w:r>
    </w:p>
  </w:footnote>
  <w:footnote w:id="97">
    <w:p w14:paraId="66A0D55D" w14:textId="77777777" w:rsidR="00101059" w:rsidRPr="0057024A" w:rsidRDefault="00101059" w:rsidP="00256E53">
      <w:pPr>
        <w:pStyle w:val="FootnoteText"/>
      </w:pPr>
      <w:r w:rsidRPr="0057024A">
        <w:rPr>
          <w:rStyle w:val="FootnoteReference"/>
        </w:rPr>
        <w:footnoteRef/>
      </w:r>
      <w:r w:rsidRPr="0057024A">
        <w:t xml:space="preserve"> This transformative test is borrowed from and similar to copyright’s “transformation” analysis:</w:t>
      </w:r>
    </w:p>
    <w:p w14:paraId="17F1B95A" w14:textId="4C9D81C3" w:rsidR="00101059" w:rsidRPr="0057024A" w:rsidRDefault="00101059" w:rsidP="00256E53">
      <w:pPr>
        <w:pStyle w:val="FootnoteText"/>
      </w:pPr>
      <w:r>
        <w:t>“</w:t>
      </w:r>
      <w:r w:rsidRPr="0057024A">
        <w:t>Nonetheless, the first fair use factor “the purpose and character of the use” . . . does seem particularly pertinent to the task of reconciling the rights of free expression and publicity. As the Supreme Court has stated, the central purpose of the inquiry into this fair use factor “is to see, in Justice Story's words, whether the new work merely 'supersede[s] the objects' of the original creation, . . . or instead adds something new, with a further purpose or different character, altering the first with new expression, meaning, or message; it asks, in other words, whether and to what extent the new work is 'transformative.' . . . Although such transformative use is not absolutely necessary for a finding of fair use, . . . the goal of copyright, to promote science and the arts, is generally furthered by the creation of transformative works." Comedy III Prods., Inc. v. Saderup, Inc., 25 Cal. 4th 387, 40</w:t>
      </w:r>
      <w:r>
        <w:t>4</w:t>
      </w:r>
      <w:r w:rsidRPr="0057024A">
        <w:t xml:space="preserve"> (2001).</w:t>
      </w:r>
    </w:p>
    <w:p w14:paraId="73D9E657" w14:textId="31E61326" w:rsidR="00101059" w:rsidRPr="0057024A" w:rsidRDefault="00101059" w:rsidP="00256E53">
      <w:pPr>
        <w:pStyle w:val="FootnoteText"/>
      </w:pPr>
      <w:r>
        <w:t>“</w:t>
      </w:r>
      <w:r w:rsidRPr="0057024A">
        <w:t>This inquiry into whether a work is “transformative” appears to us to be necessarily at the heart of any judicial attempt to square the right of publicity with the First Amendment. As the above quotation suggests, both the First Amendment and copyright law have a common goal of encouragement of free expression and creativity, the former by protecting such expression from government interference, the latter by protecting the creative fruits of intellectual and artistic labor.</w:t>
      </w:r>
      <w:r>
        <w:t xml:space="preserve"> </w:t>
      </w:r>
      <w:r w:rsidRPr="001340D8">
        <w:rPr>
          <w:i/>
        </w:rPr>
        <w:t>Id</w:t>
      </w:r>
      <w:r>
        <w:t>. at 404-05.</w:t>
      </w:r>
    </w:p>
  </w:footnote>
  <w:footnote w:id="98">
    <w:p w14:paraId="61C63D74" w14:textId="487F4142" w:rsidR="00101059" w:rsidRPr="0057024A" w:rsidRDefault="00101059" w:rsidP="00256E53">
      <w:pPr>
        <w:pStyle w:val="FootnoteText"/>
      </w:pPr>
      <w:r w:rsidRPr="0057024A">
        <w:rPr>
          <w:rStyle w:val="FootnoteReference"/>
        </w:rPr>
        <w:footnoteRef/>
      </w:r>
      <w:r w:rsidRPr="0057024A">
        <w:t xml:space="preserve"> Kirby v. Sega of Am., Inc., 144 Cal. App. 4th 47 (2006) (holding that an animated character inspired by a real performer was sufficiently transformative to merit First Amendment protection).</w:t>
      </w:r>
    </w:p>
  </w:footnote>
  <w:footnote w:id="99">
    <w:p w14:paraId="31E50445" w14:textId="3C501082"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 xml:space="preserve">at 58–60 (finding transformative use where the character “Ulala” conveyed independent expressive content and existed in a distinct creative universe). </w:t>
      </w:r>
    </w:p>
  </w:footnote>
  <w:footnote w:id="100">
    <w:p w14:paraId="0798B3AE" w14:textId="1CF59A20" w:rsidR="00101059" w:rsidRPr="0057024A" w:rsidRDefault="00101059" w:rsidP="00256E53">
      <w:pPr>
        <w:pStyle w:val="FootnoteText"/>
      </w:pPr>
      <w:r w:rsidRPr="0057024A">
        <w:rPr>
          <w:rStyle w:val="FootnoteReference"/>
        </w:rPr>
        <w:footnoteRef/>
      </w:r>
      <w:r w:rsidRPr="0057024A">
        <w:t xml:space="preserve"> Compare Bright Tunes Music Corp. v. Harrisongs Music, Ltd., 420 F. Supp. 177 (S.D.N.Y. 1976) (finding infringement where George Harrison “subconsciously” copied “He’s So Fine”), aff’d, 722 F.2d 988 (2d Cir. 1983), with Williams v. Gaye, 885 F.3d 1150 (9th Cir. 2018) (upholding liability for reproducing the “vibe” of “Got to Give It Up”), and Kirby, 144 Cal. App. 4th 47 (finding transformative use in an expressive video-game character) (illustrating the continuum between stylistic imitation and protected creative transformation).</w:t>
      </w:r>
    </w:p>
  </w:footnote>
  <w:footnote w:id="101">
    <w:p w14:paraId="4D542EE8" w14:textId="0E0B3C68" w:rsidR="00101059" w:rsidRPr="0057024A" w:rsidRDefault="00101059" w:rsidP="00256E53">
      <w:pPr>
        <w:pStyle w:val="FootnoteText"/>
      </w:pPr>
      <w:r w:rsidRPr="0057024A">
        <w:rPr>
          <w:rStyle w:val="FootnoteReference"/>
        </w:rPr>
        <w:footnoteRef/>
      </w:r>
      <w:r w:rsidRPr="0057024A">
        <w:t xml:space="preserve"> No Doubt v. Activision Publ’g, Inc., 192 Cal. App. 4th 1018 (2011) (holding that realistic digital avatars of a band performing songs in a video game were not transformative and violated the right of publicity).</w:t>
      </w:r>
    </w:p>
  </w:footnote>
  <w:footnote w:id="102">
    <w:p w14:paraId="7FA72229" w14:textId="66961B79"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1034–37 (finding avatars unprotected where they “merely replicated” the band members’ likenesses and performed under their real names).</w:t>
      </w:r>
    </w:p>
  </w:footnote>
  <w:footnote w:id="103">
    <w:p w14:paraId="5A7D9D8C" w14:textId="4CD89F70" w:rsidR="00101059" w:rsidRPr="0057024A" w:rsidRDefault="00101059" w:rsidP="00256E53">
      <w:pPr>
        <w:pStyle w:val="FootnoteText"/>
      </w:pPr>
      <w:r w:rsidRPr="0057024A">
        <w:rPr>
          <w:rStyle w:val="FootnoteReference"/>
        </w:rPr>
        <w:footnoteRef/>
      </w:r>
      <w:r w:rsidRPr="0057024A">
        <w:t xml:space="preserve"> Blanke, </w:t>
      </w:r>
      <w:r w:rsidRPr="00A83C40">
        <w:rPr>
          <w:i/>
          <w:iCs/>
        </w:rPr>
        <w:t xml:space="preserve">supra </w:t>
      </w:r>
      <w:r w:rsidRPr="0057024A">
        <w:t>note 2, at 29 (setting out the “Band Hero on Steroids” hypothetical to illustrate future conflicts between simulation and authorship).</w:t>
      </w:r>
    </w:p>
  </w:footnote>
  <w:footnote w:id="104">
    <w:p w14:paraId="0202AAF8" w14:textId="27A8DF67"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60–61 (raising questions about the ownership and authorship of works created through digital performance technologies and predicting the emergence of AI-like systems that could generate songs in the style of any artist).</w:t>
      </w:r>
    </w:p>
  </w:footnote>
  <w:footnote w:id="105">
    <w:p w14:paraId="18F4926B" w14:textId="5D5546B4" w:rsidR="00101059" w:rsidRDefault="00101059">
      <w:pPr>
        <w:pStyle w:val="FootnoteText"/>
      </w:pPr>
      <w:r>
        <w:rPr>
          <w:rStyle w:val="FootnoteReference"/>
        </w:rPr>
        <w:footnoteRef/>
      </w:r>
      <w:r>
        <w:t xml:space="preserve"> “[E]ntire . . . songs can be generated within seconds with minimal human direction. With enough computational power, professional musical works can be generated faster than it takes to listen to them.” Zachary Cooper, </w:t>
      </w:r>
      <w:r>
        <w:rPr>
          <w:i/>
        </w:rPr>
        <w:t>T</w:t>
      </w:r>
      <w:r w:rsidRPr="00F52988">
        <w:rPr>
          <w:i/>
        </w:rPr>
        <w:t>he AI Authorship Distraction: Why Copyright Should Not Be Dichotomized Based on Generative AI</w:t>
      </w:r>
      <w:r>
        <w:t xml:space="preserve">, 72 </w:t>
      </w:r>
      <w:r w:rsidRPr="00F52988">
        <w:rPr>
          <w:smallCaps/>
        </w:rPr>
        <w:t>Copyright Soc’y</w:t>
      </w:r>
      <w:r>
        <w:t xml:space="preserve"> 1250, 1251 (2025).</w:t>
      </w:r>
    </w:p>
  </w:footnote>
  <w:footnote w:id="106">
    <w:p w14:paraId="31C4CC86" w14:textId="2C887042"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Blanke, </w:t>
      </w:r>
      <w:r w:rsidRPr="00A83C40">
        <w:rPr>
          <w:i/>
          <w:iCs/>
        </w:rPr>
        <w:t xml:space="preserve">supra </w:t>
      </w:r>
      <w:r w:rsidRPr="0057024A">
        <w:t>note 2, at 29</w:t>
      </w:r>
      <w:r w:rsidR="00AA4105">
        <w:t>-57</w:t>
      </w:r>
      <w:r w:rsidRPr="0057024A">
        <w:t xml:space="preserve"> (surveying divergent state approaches). </w:t>
      </w:r>
      <w:r w:rsidRPr="009451CA">
        <w:t xml:space="preserve">State right-of-publicity laws </w:t>
      </w:r>
      <w:r>
        <w:t>vary greatly from state to state.</w:t>
      </w:r>
      <w:r w:rsidRPr="009451CA">
        <w:t xml:space="preserve"> California’s 70-year term now extends to “digital replicas” under A.B. 1836 (effective Jan. 1, 2025)</w:t>
      </w:r>
      <w:r>
        <w:t>, and</w:t>
      </w:r>
      <w:r w:rsidRPr="009451CA">
        <w:t xml:space="preserve"> Tennessee’s Ensuring Likeness, Voice, and Image Security (ELVIS) Act of 2024, Tenn. Code Ann. § 47-25-1101 (2024), explicitly protects voice cloning. </w:t>
      </w:r>
    </w:p>
  </w:footnote>
  <w:footnote w:id="107">
    <w:p w14:paraId="0F9A6254" w14:textId="112D9C97" w:rsidR="00101059" w:rsidRPr="0057024A" w:rsidRDefault="00101059" w:rsidP="00256E53">
      <w:pPr>
        <w:pStyle w:val="FootnoteText"/>
      </w:pPr>
      <w:r w:rsidRPr="0057024A">
        <w:rPr>
          <w:rStyle w:val="FootnoteReference"/>
        </w:rPr>
        <w:footnoteRef/>
      </w:r>
      <w:r w:rsidRPr="0057024A">
        <w:t xml:space="preserve"> Zacchini v. Scripps-Howard Broad. Co., 433 U.S. 562 (1977) (holding that the First Amendment does not immunize the broadcast of an entire performance that appropriates the economic value of a human act).</w:t>
      </w:r>
    </w:p>
  </w:footnote>
  <w:footnote w:id="108">
    <w:p w14:paraId="604AD951" w14:textId="3DEC149C" w:rsidR="00101059" w:rsidRPr="0057024A" w:rsidRDefault="00101059" w:rsidP="00256E53">
      <w:pPr>
        <w:pStyle w:val="FootnoteText"/>
      </w:pPr>
      <w:r w:rsidRPr="0057024A">
        <w:rPr>
          <w:rStyle w:val="FootnoteReference"/>
        </w:rPr>
        <w:footnoteRef/>
      </w:r>
      <w:r w:rsidRPr="0057024A">
        <w:t xml:space="preserve"> </w:t>
      </w:r>
      <w:r>
        <w:rPr>
          <w:i/>
          <w:iCs/>
        </w:rPr>
        <w:t xml:space="preserve">Id. </w:t>
      </w:r>
      <w:r w:rsidRPr="0057024A">
        <w:t xml:space="preserve">at 573 (“The rationale for protecting the right of publicity ... is the right of each person to control and profit from the commercial use of his identity.”). </w:t>
      </w:r>
      <w:r w:rsidRPr="00870275">
        <w:rPr>
          <w:i/>
          <w:iCs/>
        </w:rPr>
        <w:t>See</w:t>
      </w:r>
      <w:r w:rsidRPr="0057024A">
        <w:t xml:space="preserve"> Rothman, </w:t>
      </w:r>
      <w:r w:rsidRPr="00A83C40">
        <w:rPr>
          <w:i/>
          <w:iCs/>
        </w:rPr>
        <w:t xml:space="preserve">supra </w:t>
      </w:r>
      <w:r w:rsidRPr="0057024A">
        <w:t>note 9</w:t>
      </w:r>
      <w:r>
        <w:t>7</w:t>
      </w:r>
      <w:r w:rsidRPr="0057024A">
        <w:t>. After Zacchini, courts expanded the right’s reach well beyond literal name or image. In Carson v. Here’s Johnny Portable Toilets, Inc., the Sixth Circuit held that Johnny Carson’s catchphrase “Here’s Johnny!” was enough to evoke his identity. Carson v. Here’s Johnny Portable Toilets, Inc., 698 F.2d 831, 835 (6th Cir. 1983). The Ninth Circuit later extended this reasoning in White v. Samsung Electronics America, Inc., where a robot in a blond wig turning letters on a game board was deemed to appropriate Vanna White’s persona. White v. Samsung Elecs. Am., Inc., 971 F.2d 1395, 1399 (9th Cir. 1992).</w:t>
      </w:r>
    </w:p>
  </w:footnote>
  <w:footnote w:id="109">
    <w:p w14:paraId="0E4C6206" w14:textId="68693F0D" w:rsidR="00101059" w:rsidRPr="0057024A" w:rsidRDefault="00101059" w:rsidP="00256E53">
      <w:pPr>
        <w:pStyle w:val="FootnoteText"/>
      </w:pPr>
      <w:r w:rsidRPr="0057024A">
        <w:rPr>
          <w:rStyle w:val="FootnoteReference"/>
        </w:rPr>
        <w:footnoteRef/>
      </w:r>
      <w:r w:rsidRPr="0057024A">
        <w:t xml:space="preserve"> Comedy III Prods., Inc. v. Saderup, Inc., 25 Cal. 4th 387, 406 (2001).</w:t>
      </w:r>
    </w:p>
  </w:footnote>
  <w:footnote w:id="110">
    <w:p w14:paraId="5F04ABE2" w14:textId="25BB4F84" w:rsidR="00101059" w:rsidRPr="0057024A" w:rsidRDefault="00101059" w:rsidP="00256E53">
      <w:pPr>
        <w:pStyle w:val="FootnoteText"/>
      </w:pPr>
      <w:r w:rsidRPr="0057024A">
        <w:rPr>
          <w:rStyle w:val="FootnoteReference"/>
        </w:rPr>
        <w:footnoteRef/>
      </w:r>
      <w:r w:rsidRPr="0057024A">
        <w:t xml:space="preserve"> Winter v. DC Comics 30 Cal. 4th 881, 890 (2003).</w:t>
      </w:r>
    </w:p>
  </w:footnote>
  <w:footnote w:id="111">
    <w:p w14:paraId="602DF24A" w14:textId="6804DA7D" w:rsidR="00101059" w:rsidRPr="0057024A" w:rsidRDefault="00101059" w:rsidP="00256E53">
      <w:pPr>
        <w:pStyle w:val="FootnoteText"/>
      </w:pPr>
      <w:r w:rsidRPr="0057024A">
        <w:rPr>
          <w:rStyle w:val="FootnoteReference"/>
        </w:rPr>
        <w:footnoteRef/>
      </w:r>
      <w:r w:rsidRPr="0057024A">
        <w:t xml:space="preserve"> No Doubt, 192 Cal. App. 4th 1018, 1034–35 (2011). Other jurisdictions employ different balancing tests. The Second Circuit’s Rogers v. Grimaldi test asks whether a use of a name or mark has “artistic relevance” to an expressive work and is not “explicitly misleading.” Rogers v. Grimaldi, 875 F.2d 994, 999 (2d Cir. 1989). The Missouri Supreme Court’s “predominant-purpose” test in Doe v. TCI Cablevision focuses on whether a work primarily exploits identity or communicates expression. Doe v. TCI Cablevision,110 S.W.3d 363, 373 (Mo. 2003) (en banc). </w:t>
      </w:r>
    </w:p>
  </w:footnote>
  <w:footnote w:id="112">
    <w:p w14:paraId="371889A3" w14:textId="5FFFB2F8" w:rsidR="00101059" w:rsidRPr="0057024A" w:rsidRDefault="00101059" w:rsidP="00256E53">
      <w:pPr>
        <w:pStyle w:val="FootnoteText"/>
      </w:pPr>
      <w:r w:rsidRPr="0057024A">
        <w:rPr>
          <w:rStyle w:val="FootnoteReference"/>
        </w:rPr>
        <w:footnoteRef/>
      </w:r>
      <w:r w:rsidRPr="0057024A">
        <w:t xml:space="preserve"> </w:t>
      </w:r>
      <w:r w:rsidRPr="001F48D5">
        <w:rPr>
          <w:i/>
          <w:iCs/>
        </w:rPr>
        <w:t>See</w:t>
      </w:r>
      <w:r w:rsidRPr="001F48D5">
        <w:t xml:space="preserve"> </w:t>
      </w:r>
      <w:r w:rsidRPr="001F48D5">
        <w:rPr>
          <w:i/>
          <w:iCs/>
        </w:rPr>
        <w:t>generally</w:t>
      </w:r>
      <w:r w:rsidRPr="001F48D5">
        <w:t xml:space="preserve"> Restatement (Third) of Unfair Competition § 46 (Am. L. Inst. 1995) (surveying right-of-publicity doctrines); 1–2 J. THOMAS MCCARTHY, THE RIGHTS OF PUBLICITY AND PRIVACY (2d ed., updated 2024).</w:t>
      </w:r>
      <w:r w:rsidRPr="0057024A">
        <w:t xml:space="preserve"> </w:t>
      </w:r>
    </w:p>
  </w:footnote>
  <w:footnote w:id="113">
    <w:p w14:paraId="2ED25A82" w14:textId="3DEABED5" w:rsidR="00101059" w:rsidRPr="0057024A" w:rsidRDefault="00101059" w:rsidP="002938AC">
      <w:pPr>
        <w:spacing w:after="0" w:line="240" w:lineRule="auto"/>
        <w:rPr>
          <w:rFonts w:ascii="Times New Roman" w:hAnsi="Times New Roman" w:cs="Times New Roman"/>
          <w:sz w:val="20"/>
          <w:szCs w:val="20"/>
        </w:rPr>
      </w:pPr>
      <w:r w:rsidRPr="0057024A">
        <w:rPr>
          <w:rStyle w:val="FootnoteReference"/>
        </w:rPr>
        <w:footnoteRef/>
      </w:r>
      <w:r w:rsidRPr="0057024A">
        <w:rPr>
          <w:rStyle w:val="FootnoteReference"/>
        </w:rPr>
        <w:t xml:space="preserve"> </w:t>
      </w:r>
      <w:r w:rsidRPr="0057024A">
        <w:rPr>
          <w:rFonts w:ascii="Times New Roman" w:hAnsi="Times New Roman" w:cs="Times New Roman"/>
          <w:sz w:val="20"/>
          <w:szCs w:val="20"/>
        </w:rPr>
        <w:t>Cal. Civ. Code § 3344 (West 2024); Cal. Civ. Code § 3344.1 (West 2024); A.B. 1836, 2024 Leg., Reg. Sess. (Cal.) (amending § 3344.1 to address “digital replicas,” effective Jan. 1, 2025).</w:t>
      </w:r>
    </w:p>
  </w:footnote>
  <w:footnote w:id="114">
    <w:p w14:paraId="666FE931" w14:textId="48E7F57A" w:rsidR="00101059" w:rsidRPr="0057024A" w:rsidRDefault="00101059" w:rsidP="00256E53">
      <w:pPr>
        <w:pStyle w:val="FootnoteText"/>
      </w:pPr>
      <w:r w:rsidRPr="0057024A">
        <w:rPr>
          <w:rStyle w:val="FootnoteReference"/>
        </w:rPr>
        <w:footnoteRef/>
      </w:r>
      <w:r w:rsidRPr="0057024A">
        <w:t xml:space="preserve"> N.Y. Civ. Rights Law §§ 50–51 (privacy-based publicity tort) (McKinney 2024).</w:t>
      </w:r>
    </w:p>
  </w:footnote>
  <w:footnote w:id="115">
    <w:p w14:paraId="2456B5CF" w14:textId="7AD97B18" w:rsidR="00101059" w:rsidRPr="0057024A" w:rsidRDefault="00101059" w:rsidP="00256E53">
      <w:pPr>
        <w:pStyle w:val="FootnoteText"/>
      </w:pPr>
      <w:r w:rsidRPr="0057024A">
        <w:rPr>
          <w:rStyle w:val="FootnoteReference"/>
        </w:rPr>
        <w:footnoteRef/>
      </w:r>
      <w:r w:rsidRPr="0057024A">
        <w:t xml:space="preserve"> N.Y. Civ. Rights Law § 50-f (postmortem right for “deceased performers” and “deceased personalities”) (McKinney 2024).</w:t>
      </w:r>
    </w:p>
  </w:footnote>
  <w:footnote w:id="116">
    <w:p w14:paraId="730AEDCC" w14:textId="6E1AD3AD" w:rsidR="00101059" w:rsidRPr="0057024A" w:rsidRDefault="00101059" w:rsidP="00256E53">
      <w:pPr>
        <w:pStyle w:val="FootnoteText"/>
      </w:pPr>
      <w:r w:rsidRPr="0057024A">
        <w:rPr>
          <w:rStyle w:val="FootnoteReference"/>
        </w:rPr>
        <w:footnoteRef/>
      </w:r>
      <w:r w:rsidRPr="0057024A">
        <w:t xml:space="preserve"> Ind. Code § 32-36-1-8 (2024) (postmortem term up to 100 years).</w:t>
      </w:r>
    </w:p>
  </w:footnote>
  <w:footnote w:id="117">
    <w:p w14:paraId="008021A6" w14:textId="3B5B6706" w:rsidR="00101059" w:rsidRPr="0057024A" w:rsidRDefault="00101059" w:rsidP="00256E53">
      <w:pPr>
        <w:pStyle w:val="FootnoteText"/>
      </w:pPr>
      <w:r w:rsidRPr="0057024A">
        <w:rPr>
          <w:rStyle w:val="FootnoteReference"/>
        </w:rPr>
        <w:footnoteRef/>
      </w:r>
      <w:r w:rsidRPr="0057024A">
        <w:t xml:space="preserve"> Tenn. Code Ann. § 47-25-1101 et seq. (2024) (protecting voice and other digital likeness uses).</w:t>
      </w:r>
    </w:p>
  </w:footnote>
  <w:footnote w:id="118">
    <w:p w14:paraId="6A2DB457" w14:textId="2EF21716"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Blanke, </w:t>
      </w:r>
      <w:r w:rsidRPr="00A83C40">
        <w:rPr>
          <w:i/>
          <w:iCs/>
        </w:rPr>
        <w:t xml:space="preserve">supra </w:t>
      </w:r>
      <w:r w:rsidRPr="0057024A">
        <w:t xml:space="preserve">note 2, at </w:t>
      </w:r>
      <w:r w:rsidR="00FA5E8F">
        <w:t>60</w:t>
      </w:r>
      <w:r w:rsidRPr="0057024A">
        <w:t>–</w:t>
      </w:r>
      <w:r w:rsidR="00FA5E8F">
        <w:t>61</w:t>
      </w:r>
      <w:r w:rsidRPr="0057024A">
        <w:t>.</w:t>
      </w:r>
    </w:p>
  </w:footnote>
  <w:footnote w:id="119">
    <w:p w14:paraId="7B7A2BD7" w14:textId="12CF37C3"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Note, </w:t>
      </w:r>
      <w:r w:rsidRPr="009451CA">
        <w:rPr>
          <w:i/>
          <w:iCs/>
        </w:rPr>
        <w:t>Name That Tune: How the Rapid Development of Artificial Intelligence is Harming Vocalists and Voice Actors’ Right of Publicity</w:t>
      </w:r>
      <w:r w:rsidRPr="0057024A">
        <w:t xml:space="preserve">, 63 </w:t>
      </w:r>
      <w:r w:rsidRPr="0057024A">
        <w:rPr>
          <w:smallCaps/>
        </w:rPr>
        <w:t>U. Louisville L. Rev</w:t>
      </w:r>
      <w:r w:rsidRPr="0057024A">
        <w:t xml:space="preserve">. 627, 628 (2025) (where Allison Florence discusses how musical performers like Taylor Swift and actors/voice performers like Stephen Fry have already experienced incidents where their images, voices, songs and personas have been replicated and appropriated);  Brian Contreras, </w:t>
      </w:r>
      <w:r w:rsidRPr="009451CA">
        <w:rPr>
          <w:i/>
          <w:iCs/>
        </w:rPr>
        <w:t>Tougher AI Policies Could Protect Taylor Swift-- And Everyone Else--From Deepfakes</w:t>
      </w:r>
      <w:r w:rsidRPr="0057024A">
        <w:t xml:space="preserve">, </w:t>
      </w:r>
      <w:r w:rsidRPr="0057024A">
        <w:rPr>
          <w:smallCaps/>
        </w:rPr>
        <w:t>Sci. Am.</w:t>
      </w:r>
    </w:p>
    <w:p w14:paraId="7C168B18" w14:textId="3781F7B9" w:rsidR="00101059" w:rsidRPr="0057024A" w:rsidRDefault="00101059" w:rsidP="00256E53">
      <w:pPr>
        <w:pStyle w:val="FootnoteText"/>
      </w:pPr>
      <w:r w:rsidRPr="0057024A">
        <w:t xml:space="preserve">(Feb. 8, 2024), </w:t>
      </w:r>
      <w:hyperlink r:id="rId5" w:history="1">
        <w:r w:rsidRPr="0057024A">
          <w:rPr>
            <w:rStyle w:val="Hyperlink"/>
          </w:rPr>
          <w:t>https://www.scientificamerican.com/article/tougher-ai-policies-could-protect-taylor-swift-and-everyone-else-fromdeepfakes/</w:t>
        </w:r>
      </w:hyperlink>
      <w:r w:rsidRPr="0057024A">
        <w:t xml:space="preserve"> ; Zach Sharf, </w:t>
      </w:r>
      <w:r w:rsidRPr="009451CA">
        <w:rPr>
          <w:i/>
          <w:iCs/>
        </w:rPr>
        <w:t>Stephen Fry Shocked to Discover AI Stole His Voice From ‘Harry Potter’ Audiobooks and Replicated It Without Consent, Says His Agents ‘Went Ballistic’</w:t>
      </w:r>
      <w:r w:rsidRPr="0057024A">
        <w:t xml:space="preserve">, Variety (Sept. 19, 2023), </w:t>
      </w:r>
      <w:hyperlink r:id="rId6" w:history="1">
        <w:r w:rsidRPr="0057024A">
          <w:rPr>
            <w:rStyle w:val="Hyperlink"/>
          </w:rPr>
          <w:t>https://variety.com/2023/film/news/stephen-fry-ai-stolevoice-harry-potter-audiobooks-1235727795/</w:t>
        </w:r>
      </w:hyperlink>
      <w:r w:rsidRPr="0057024A">
        <w:t xml:space="preserve"> . </w:t>
      </w:r>
      <w:r w:rsidRPr="00870275">
        <w:rPr>
          <w:i/>
          <w:iCs/>
        </w:rPr>
        <w:t>See</w:t>
      </w:r>
      <w:r w:rsidRPr="0057024A">
        <w:t xml:space="preserve"> </w:t>
      </w:r>
      <w:r w:rsidRPr="00870275">
        <w:rPr>
          <w:i/>
          <w:iCs/>
        </w:rPr>
        <w:t>also</w:t>
      </w:r>
      <w:r w:rsidRPr="0057024A">
        <w:t xml:space="preserve"> Note, </w:t>
      </w:r>
      <w:r w:rsidRPr="009451CA">
        <w:rPr>
          <w:i/>
          <w:iCs/>
        </w:rPr>
        <w:t>“Fake Drake”: Vindicating Copyright Ownership in the Advent of Generative AI Music</w:t>
      </w:r>
      <w:r w:rsidRPr="0057024A">
        <w:t xml:space="preserve">, 98 S. Cal. L. Rev. 663 (2025) (where Melissa Schneider discusses how a viral new song, “Heart in My Sleeve,” purportedly by Drake and the Weeknd, turned out to be nothing more than a song created by a music-generating AI program); Amanda Silberling, </w:t>
      </w:r>
      <w:r w:rsidRPr="009451CA">
        <w:rPr>
          <w:i/>
          <w:iCs/>
        </w:rPr>
        <w:t>A New Drake x The Weeknd Track Just Blew Up--But It's an AI Fake</w:t>
      </w:r>
      <w:r w:rsidRPr="0057024A">
        <w:t xml:space="preserve">, TechCrunch (Apr. 17, 2023), </w:t>
      </w:r>
      <w:hyperlink r:id="rId7" w:history="1">
        <w:r w:rsidRPr="0057024A">
          <w:rPr>
            <w:rStyle w:val="Hyperlink"/>
          </w:rPr>
          <w:t>https://techcrunch.com/2023/04/17/uh-oh-an-ai-generated-song-by-drake-and-the-weeknd-went-viral</w:t>
        </w:r>
      </w:hyperlink>
      <w:r w:rsidRPr="0057024A">
        <w:t xml:space="preserve"> ; Samantha Murphy Kelly, </w:t>
      </w:r>
      <w:r w:rsidRPr="009451CA">
        <w:rPr>
          <w:i/>
          <w:iCs/>
        </w:rPr>
        <w:t>The Viral New ‘Drake’ and ‘Weeknd’ Song Is Not What It Seems</w:t>
      </w:r>
      <w:r w:rsidRPr="0057024A">
        <w:t>, CNN (Apr. 19, 2023), https://</w:t>
      </w:r>
    </w:p>
    <w:p w14:paraId="5B3E23A8" w14:textId="589B8F34" w:rsidR="00101059" w:rsidRPr="0057024A" w:rsidRDefault="004B0AF1" w:rsidP="00256E53">
      <w:pPr>
        <w:pStyle w:val="FootnoteText"/>
      </w:pPr>
      <w:hyperlink r:id="rId8" w:history="1">
        <w:r w:rsidR="00101059" w:rsidRPr="0057024A">
          <w:rPr>
            <w:rStyle w:val="Hyperlink"/>
          </w:rPr>
          <w:t>www.cnn.com/2023/04/19/tech/heart-on-sleeve-ai-drake-weeknd</w:t>
        </w:r>
      </w:hyperlink>
      <w:r w:rsidR="00101059" w:rsidRPr="0057024A">
        <w:t xml:space="preserve"> .</w:t>
      </w:r>
    </w:p>
  </w:footnote>
  <w:footnote w:id="120">
    <w:p w14:paraId="14DBA81E" w14:textId="02E926D1" w:rsidR="00101059" w:rsidRPr="0057024A" w:rsidRDefault="00101059" w:rsidP="00256E53">
      <w:pPr>
        <w:pStyle w:val="FootnoteText"/>
      </w:pPr>
      <w:r w:rsidRPr="0057024A">
        <w:rPr>
          <w:rStyle w:val="FootnoteReference"/>
        </w:rPr>
        <w:footnoteRef/>
      </w:r>
      <w:r w:rsidRPr="0057024A">
        <w:t xml:space="preserve"> Comedy III, 25 Cal. 4th at 402-09.</w:t>
      </w:r>
    </w:p>
  </w:footnote>
  <w:footnote w:id="121">
    <w:p w14:paraId="51DA0C39" w14:textId="6BC00738" w:rsidR="00101059" w:rsidRPr="0057024A" w:rsidRDefault="00101059" w:rsidP="00256E53">
      <w:pPr>
        <w:pStyle w:val="FootnoteText"/>
      </w:pPr>
      <w:r w:rsidRPr="0057024A">
        <w:rPr>
          <w:rStyle w:val="FootnoteReference"/>
        </w:rPr>
        <w:footnoteRef/>
      </w:r>
      <w:r w:rsidRPr="0057024A">
        <w:t xml:space="preserve"> Winter, 30 Cal. 4th at 890.</w:t>
      </w:r>
    </w:p>
  </w:footnote>
  <w:footnote w:id="122">
    <w:p w14:paraId="48E2BA78" w14:textId="06D07E3B" w:rsidR="00101059" w:rsidRPr="0057024A" w:rsidRDefault="00101059" w:rsidP="00256E53">
      <w:pPr>
        <w:pStyle w:val="FootnoteText"/>
      </w:pPr>
      <w:r w:rsidRPr="0057024A">
        <w:rPr>
          <w:rStyle w:val="FootnoteReference"/>
        </w:rPr>
        <w:footnoteRef/>
      </w:r>
      <w:r w:rsidRPr="0057024A">
        <w:t xml:space="preserve"> Comedy III, 25 Cal. 4th at 404.</w:t>
      </w:r>
    </w:p>
  </w:footnote>
  <w:footnote w:id="123">
    <w:p w14:paraId="21CFDBDB" w14:textId="157A1A43" w:rsidR="00101059" w:rsidRPr="0057024A" w:rsidRDefault="00101059" w:rsidP="00256E53">
      <w:pPr>
        <w:pStyle w:val="FootnoteText"/>
      </w:pPr>
      <w:r w:rsidRPr="0057024A">
        <w:rPr>
          <w:rStyle w:val="FootnoteReference"/>
        </w:rPr>
        <w:footnoteRef/>
      </w:r>
      <w:r w:rsidRPr="0057024A">
        <w:t xml:space="preserve"> Campbell v. Acuff-Rose Music, Inc., 510 U.S. 569, 579 (1994).</w:t>
      </w:r>
    </w:p>
  </w:footnote>
  <w:footnote w:id="124">
    <w:p w14:paraId="6646EA80" w14:textId="3E337192" w:rsidR="00101059" w:rsidRPr="0057024A" w:rsidRDefault="00101059" w:rsidP="00256E53">
      <w:pPr>
        <w:pStyle w:val="FootnoteText"/>
      </w:pPr>
      <w:r w:rsidRPr="0057024A">
        <w:rPr>
          <w:rStyle w:val="FootnoteReference"/>
        </w:rPr>
        <w:footnoteRef/>
      </w:r>
      <w:r w:rsidRPr="0057024A">
        <w:t xml:space="preserve"> Comedy III, 25 Cal. 4th at 404.</w:t>
      </w:r>
    </w:p>
  </w:footnote>
  <w:footnote w:id="125">
    <w:p w14:paraId="52F17CFF" w14:textId="148F4238"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408-09 (“Through distortion and the careful manipulation of context, Warhol was able to convey a message that went beyond the commercial exploitation of celebrity images and became a form of ironic social comment on the dehumanization of celebrity itself”).</w:t>
      </w:r>
    </w:p>
  </w:footnote>
  <w:footnote w:id="126">
    <w:p w14:paraId="1555119D" w14:textId="084C1BBA"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Calvin Tomkins, </w:t>
      </w:r>
      <w:r w:rsidRPr="009451CA">
        <w:rPr>
          <w:i/>
          <w:iCs/>
        </w:rPr>
        <w:t>The Fame Factory: The True Subversiveness of Andy Warhol</w:t>
      </w:r>
      <w:r w:rsidRPr="0057024A">
        <w:t xml:space="preserve">, </w:t>
      </w:r>
      <w:r w:rsidRPr="0057024A">
        <w:rPr>
          <w:smallCaps/>
        </w:rPr>
        <w:t>New Yorker</w:t>
      </w:r>
      <w:r w:rsidRPr="0057024A">
        <w:t xml:space="preserve">, Nov. 24, 1997, </w:t>
      </w:r>
      <w:hyperlink r:id="rId9" w:history="1">
        <w:r w:rsidRPr="0057024A">
          <w:rPr>
            <w:rStyle w:val="Hyperlink"/>
          </w:rPr>
          <w:t>https://www.newyorker.com/magazine/1997/12/01/the-fame-factory</w:t>
        </w:r>
      </w:hyperlink>
      <w:r w:rsidRPr="0057024A">
        <w:t xml:space="preserve"> .</w:t>
      </w:r>
    </w:p>
  </w:footnote>
  <w:footnote w:id="127">
    <w:p w14:paraId="4782F663" w14:textId="7D8BD227" w:rsidR="00101059" w:rsidRPr="0057024A" w:rsidRDefault="00101059" w:rsidP="00256E53">
      <w:pPr>
        <w:pStyle w:val="FootnoteText"/>
      </w:pPr>
      <w:r w:rsidRPr="0057024A">
        <w:rPr>
          <w:rStyle w:val="FootnoteReference"/>
        </w:rPr>
        <w:footnoteRef/>
      </w:r>
      <w:r w:rsidRPr="0057024A">
        <w:t xml:space="preserve"> Guy Hepner, </w:t>
      </w:r>
      <w:r w:rsidRPr="009451CA">
        <w:rPr>
          <w:i/>
          <w:iCs/>
        </w:rPr>
        <w:t>Warhol Portraits: The Complete Guide</w:t>
      </w:r>
      <w:r w:rsidRPr="0057024A">
        <w:t xml:space="preserve">, </w:t>
      </w:r>
      <w:hyperlink r:id="rId10" w:history="1">
        <w:r w:rsidRPr="0057024A">
          <w:rPr>
            <w:rStyle w:val="Hyperlink"/>
          </w:rPr>
          <w:t>https://guyhepner.com/news/393-andy-warhol-portraits-a-complete-guide/</w:t>
        </w:r>
      </w:hyperlink>
      <w:r w:rsidRPr="0057024A">
        <w:t xml:space="preserve"> .</w:t>
      </w:r>
    </w:p>
  </w:footnote>
  <w:footnote w:id="128">
    <w:p w14:paraId="70592D2E" w14:textId="377DFE62" w:rsidR="00101059" w:rsidRPr="0057024A" w:rsidRDefault="00101059" w:rsidP="00256E53">
      <w:pPr>
        <w:pStyle w:val="FootnoteText"/>
        <w:rPr>
          <w:b/>
          <w:bCs/>
        </w:rPr>
      </w:pPr>
      <w:r w:rsidRPr="0057024A">
        <w:rPr>
          <w:rStyle w:val="FootnoteReference"/>
        </w:rPr>
        <w:footnoteRef/>
      </w:r>
      <w:r w:rsidRPr="0057024A">
        <w:t xml:space="preserve"> </w:t>
      </w:r>
      <w:r w:rsidRPr="00870275">
        <w:rPr>
          <w:i/>
          <w:iCs/>
        </w:rPr>
        <w:t>See</w:t>
      </w:r>
      <w:r w:rsidRPr="0057024A">
        <w:t xml:space="preserve"> </w:t>
      </w:r>
      <w:r w:rsidRPr="00870275">
        <w:rPr>
          <w:i/>
          <w:iCs/>
        </w:rPr>
        <w:t>contra</w:t>
      </w:r>
      <w:r w:rsidRPr="0057024A">
        <w:t xml:space="preserve"> the dissenting opinion of Justice Kagan in Andy Warhol Found. for the Visual Arts, Inc. v. Goldsmith, 598 U.S. 508, 558-59 (2023) (Kagan, J., dissenting) (“You've probably heard of Andy Warhol; you've probably seen his art. You know that he reframed and reformulated —in a word, transformed—images created first by others. Campbell's soup cans and Brillo boxes. Photos of celebrity icons: Marilyn, Elvis, Jackie, Liz—and, as most </w:t>
      </w:r>
    </w:p>
    <w:p w14:paraId="74CA429D" w14:textId="08E24067" w:rsidR="00101059" w:rsidRPr="0057024A" w:rsidRDefault="00101059" w:rsidP="00256E53">
      <w:pPr>
        <w:pStyle w:val="FootnoteText"/>
      </w:pPr>
      <w:r w:rsidRPr="0057024A">
        <w:t xml:space="preserve">relevant here, Prince. That's how Warhol earned his conspicuous place in every college's Art History 101. So it may come as a surprise to see the majority describe the Prince silkscreen as a ‘modest alteration’ of Lynn Goldsmith's photograph—the result of some ‘crop[ping]’ and ‘flatten[ing]’—with the same ‘essential nature.’  . . . Or more generally, to observe the majority's lack of appreciation for the way his works differ in both aesthetics and message from the original templates.” </w:t>
      </w:r>
      <w:r w:rsidRPr="00870275">
        <w:rPr>
          <w:i/>
          <w:iCs/>
        </w:rPr>
        <w:t>See</w:t>
      </w:r>
      <w:r w:rsidRPr="0057024A">
        <w:t xml:space="preserve"> </w:t>
      </w:r>
      <w:r w:rsidRPr="00870275">
        <w:rPr>
          <w:i/>
          <w:iCs/>
        </w:rPr>
        <w:t>also</w:t>
      </w:r>
      <w:r w:rsidRPr="0057024A">
        <w:t xml:space="preserve"> Matthew Sag, </w:t>
      </w:r>
      <w:r w:rsidRPr="009451CA">
        <w:rPr>
          <w:i/>
          <w:iCs/>
        </w:rPr>
        <w:t xml:space="preserve">Fairness and </w:t>
      </w:r>
      <w:r>
        <w:rPr>
          <w:i/>
          <w:iCs/>
        </w:rPr>
        <w:t>F</w:t>
      </w:r>
      <w:r w:rsidRPr="009451CA">
        <w:rPr>
          <w:i/>
          <w:iCs/>
        </w:rPr>
        <w:t>air Use in Generative AI</w:t>
      </w:r>
      <w:r w:rsidRPr="0057024A">
        <w:t>, 92 Fordham L. Rev. 1887, 1896, 1896 n.52 (2024).</w:t>
      </w:r>
    </w:p>
  </w:footnote>
  <w:footnote w:id="129">
    <w:p w14:paraId="16D20085" w14:textId="3CDAE919" w:rsidR="00101059" w:rsidRPr="0057024A" w:rsidRDefault="00101059" w:rsidP="00256E53">
      <w:pPr>
        <w:pStyle w:val="FootnoteText"/>
      </w:pPr>
      <w:r w:rsidRPr="0057024A">
        <w:rPr>
          <w:rStyle w:val="FootnoteReference"/>
        </w:rPr>
        <w:footnoteRef/>
      </w:r>
      <w:r w:rsidRPr="0057024A">
        <w:t xml:space="preserve"> Comedy III, 25 Cal. 4th at 409 (“Turning to Saderup's work, we can discern no significant transformative or creative contribution. His undeniable skill is manifestly subordinated to the overall goal of creating literal, conventional depictions of The Three Stooges so as to exploit their fame); </w:t>
      </w:r>
      <w:r w:rsidRPr="00870275">
        <w:rPr>
          <w:i/>
          <w:iCs/>
        </w:rPr>
        <w:t>see</w:t>
      </w:r>
      <w:r w:rsidRPr="0057024A">
        <w:t xml:space="preserve"> </w:t>
      </w:r>
      <w:r w:rsidRPr="00870275">
        <w:rPr>
          <w:i/>
          <w:iCs/>
        </w:rPr>
        <w:t>also</w:t>
      </w:r>
      <w:r w:rsidRPr="0057024A">
        <w:t xml:space="preserve"> Jordan M. Blanke, </w:t>
      </w:r>
      <w:r w:rsidRPr="009451CA">
        <w:rPr>
          <w:i/>
          <w:iCs/>
        </w:rPr>
        <w:t>Frank Miller’s Sin City College Football: A Game to Die For and Other Lessons About the Right of Publicity and Video Games</w:t>
      </w:r>
      <w:r w:rsidRPr="0057024A">
        <w:t xml:space="preserve">, 72 </w:t>
      </w:r>
      <w:r w:rsidRPr="0057024A">
        <w:rPr>
          <w:smallCaps/>
        </w:rPr>
        <w:t>Wash. &amp; Lee L. Rev.</w:t>
      </w:r>
      <w:r w:rsidRPr="0057024A">
        <w:t xml:space="preserve"> 379, 392 (2015) (“Does the decision [about copyright protection] hinge upon the fame of the artist?”).</w:t>
      </w:r>
    </w:p>
  </w:footnote>
  <w:footnote w:id="130">
    <w:p w14:paraId="0295DA23" w14:textId="77777777" w:rsidR="00101059" w:rsidRPr="0057024A" w:rsidRDefault="00101059" w:rsidP="00256E53">
      <w:pPr>
        <w:pStyle w:val="FootnoteText"/>
      </w:pPr>
      <w:r w:rsidRPr="0057024A">
        <w:rPr>
          <w:rStyle w:val="FootnoteReference"/>
        </w:rPr>
        <w:footnoteRef/>
      </w:r>
      <w:r w:rsidRPr="0057024A">
        <w:t xml:space="preserve"> Andy Warhol Found. for the Visual Arts, Inc. v. Goldsmith, 598 U.S. 508, 520–21 (2023).</w:t>
      </w:r>
    </w:p>
  </w:footnote>
  <w:footnote w:id="131">
    <w:p w14:paraId="49DE2A8F" w14:textId="1B10B451" w:rsidR="00101059" w:rsidRPr="0057024A" w:rsidRDefault="00101059" w:rsidP="00256E53">
      <w:pPr>
        <w:pStyle w:val="FootnoteText"/>
      </w:pPr>
      <w:r w:rsidRPr="0057024A">
        <w:rPr>
          <w:rStyle w:val="FootnoteReference"/>
        </w:rPr>
        <w:footnoteRef/>
      </w:r>
      <w:r w:rsidRPr="0057024A">
        <w:t xml:space="preserve"> Comedy III, 25 Cal. 4th 387; Campbell, 510 U.S. 569; </w:t>
      </w:r>
      <w:r w:rsidRPr="00870275">
        <w:rPr>
          <w:i/>
          <w:iCs/>
        </w:rPr>
        <w:t>see</w:t>
      </w:r>
      <w:r w:rsidRPr="0057024A">
        <w:t xml:space="preserve"> </w:t>
      </w:r>
      <w:r w:rsidRPr="00870275">
        <w:rPr>
          <w:i/>
          <w:iCs/>
        </w:rPr>
        <w:t>also</w:t>
      </w:r>
      <w:r w:rsidRPr="0057024A">
        <w:t xml:space="preserve"> </w:t>
      </w:r>
      <w:bookmarkStart w:id="36" w:name="_Hlk212468064"/>
      <w:r w:rsidRPr="0057024A">
        <w:t xml:space="preserve">Blanke, </w:t>
      </w:r>
      <w:r w:rsidRPr="00A83C40">
        <w:rPr>
          <w:i/>
          <w:iCs/>
        </w:rPr>
        <w:t xml:space="preserve">supra </w:t>
      </w:r>
      <w:r w:rsidRPr="0057024A">
        <w:t>note 74, at 392 (discussing Warhol’s use of Marilyn Monroe and the subjectivity of “transformation” in celebrity appropriation cases)</w:t>
      </w:r>
      <w:bookmarkEnd w:id="36"/>
      <w:r w:rsidRPr="0057024A">
        <w:t xml:space="preserve">; </w:t>
      </w:r>
      <w:r w:rsidRPr="00870275">
        <w:rPr>
          <w:i/>
          <w:iCs/>
        </w:rPr>
        <w:t>see</w:t>
      </w:r>
      <w:r w:rsidRPr="0057024A">
        <w:t xml:space="preserve"> </w:t>
      </w:r>
      <w:r w:rsidRPr="00A83C40">
        <w:rPr>
          <w:i/>
          <w:iCs/>
        </w:rPr>
        <w:t xml:space="preserve">supra </w:t>
      </w:r>
      <w:r w:rsidRPr="0057024A">
        <w:t>Part IV.</w:t>
      </w:r>
    </w:p>
  </w:footnote>
  <w:footnote w:id="132">
    <w:p w14:paraId="08647478" w14:textId="3B0DF3E9" w:rsidR="00101059" w:rsidRPr="0057024A" w:rsidRDefault="00101059" w:rsidP="00256E53">
      <w:pPr>
        <w:pStyle w:val="FootnoteText"/>
      </w:pPr>
      <w:r w:rsidRPr="0057024A">
        <w:rPr>
          <w:rStyle w:val="FootnoteReference"/>
        </w:rPr>
        <w:footnoteRef/>
      </w:r>
      <w:r w:rsidRPr="0057024A">
        <w:t xml:space="preserve"> Blanke, </w:t>
      </w:r>
      <w:r w:rsidRPr="00A83C40">
        <w:rPr>
          <w:i/>
          <w:iCs/>
        </w:rPr>
        <w:t xml:space="preserve">supra </w:t>
      </w:r>
      <w:r w:rsidRPr="0057024A">
        <w:t>note 12</w:t>
      </w:r>
      <w:r>
        <w:t>9</w:t>
      </w:r>
      <w:r w:rsidRPr="0057024A">
        <w:t>, at 392–95.</w:t>
      </w:r>
    </w:p>
  </w:footnote>
  <w:footnote w:id="133">
    <w:p w14:paraId="7F55EB71" w14:textId="02B567AB"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w:t>
      </w:r>
      <w:r w:rsidRPr="009451CA">
        <w:rPr>
          <w:i/>
          <w:iCs/>
        </w:rPr>
        <w:t xml:space="preserve">Copyright Office: Part </w:t>
      </w:r>
      <w:r>
        <w:rPr>
          <w:i/>
          <w:iCs/>
        </w:rPr>
        <w:t>2</w:t>
      </w:r>
      <w:r w:rsidRPr="0057024A">
        <w:t xml:space="preserve">, </w:t>
      </w:r>
      <w:r w:rsidRPr="00A83C40">
        <w:rPr>
          <w:i/>
          <w:iCs/>
        </w:rPr>
        <w:t xml:space="preserve">supra </w:t>
      </w:r>
      <w:r w:rsidRPr="0057024A">
        <w:t xml:space="preserve">note 1, at 12–22; </w:t>
      </w:r>
      <w:r w:rsidRPr="00A83C40">
        <w:rPr>
          <w:i/>
          <w:iCs/>
        </w:rPr>
        <w:t xml:space="preserve">supra </w:t>
      </w:r>
      <w:r w:rsidRPr="0057024A">
        <w:t>Part III.</w:t>
      </w:r>
    </w:p>
  </w:footnote>
  <w:footnote w:id="134">
    <w:p w14:paraId="04689C0C" w14:textId="2ED8B700"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Blanke, </w:t>
      </w:r>
      <w:r w:rsidRPr="00A83C40">
        <w:rPr>
          <w:i/>
          <w:iCs/>
        </w:rPr>
        <w:t xml:space="preserve">supra </w:t>
      </w:r>
      <w:r w:rsidRPr="0057024A">
        <w:t>note 2, at 60–6</w:t>
      </w:r>
      <w:r w:rsidR="00FA5E8F">
        <w:t>1</w:t>
      </w:r>
      <w:r w:rsidRPr="0057024A">
        <w:t>.</w:t>
      </w:r>
    </w:p>
  </w:footnote>
  <w:footnote w:id="135">
    <w:p w14:paraId="653D4407" w14:textId="50F67242"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Baker v. Selden, 101 U.S. 99, 102 (1879) (holding that copyright does not extend to ideas, methods, or systems); Feist Publ’ns, Inc. v. Rural Tel. Serv. Co., 499 U.S. 340, 345–48 (1991) (reaffirming that facts and ideas are not protected).</w:t>
      </w:r>
    </w:p>
  </w:footnote>
  <w:footnote w:id="136">
    <w:p w14:paraId="2A5AF2CB" w14:textId="00FEF65E" w:rsidR="00101059" w:rsidRPr="0057024A" w:rsidRDefault="00101059" w:rsidP="00256E53">
      <w:pPr>
        <w:pStyle w:val="FootnoteText"/>
      </w:pPr>
      <w:r w:rsidRPr="0057024A">
        <w:rPr>
          <w:rStyle w:val="FootnoteReference"/>
        </w:rPr>
        <w:footnoteRef/>
      </w:r>
      <w:r w:rsidRPr="0057024A">
        <w:t xml:space="preserve"> </w:t>
      </w:r>
      <w:r w:rsidRPr="009451CA">
        <w:rPr>
          <w:i/>
          <w:iCs/>
        </w:rPr>
        <w:t>Copyright Registration Guidance</w:t>
      </w:r>
      <w:r w:rsidRPr="0057024A">
        <w:t xml:space="preserve">, </w:t>
      </w:r>
      <w:r w:rsidRPr="00A83C40">
        <w:rPr>
          <w:i/>
          <w:iCs/>
        </w:rPr>
        <w:t xml:space="preserve">supra </w:t>
      </w:r>
      <w:r w:rsidRPr="0057024A">
        <w:t>note 35 at 16,190, 16,191–92 (limiting registration to human-authored expression and requiring applicants to disclaim autonomous AI material).</w:t>
      </w:r>
    </w:p>
  </w:footnote>
  <w:footnote w:id="137">
    <w:p w14:paraId="4668E632" w14:textId="157B1781" w:rsidR="00101059" w:rsidRDefault="00101059" w:rsidP="005E1C3C">
      <w:pPr>
        <w:autoSpaceDE w:val="0"/>
        <w:autoSpaceDN w:val="0"/>
        <w:adjustRightInd w:val="0"/>
        <w:spacing w:after="0" w:line="240" w:lineRule="auto"/>
      </w:pPr>
      <w:r>
        <w:rPr>
          <w:rStyle w:val="FootnoteReference"/>
        </w:rPr>
        <w:footnoteRef/>
      </w:r>
      <w:r>
        <w:t xml:space="preserve"> </w:t>
      </w:r>
      <w:r>
        <w:rPr>
          <w:rFonts w:ascii="TimesNewRomanPSMT" w:hAnsi="TimesNewRomanPSMT" w:cs="TimesNewRomanPSMT"/>
          <w:color w:val="1F1F1F"/>
          <w:kern w:val="0"/>
          <w:sz w:val="20"/>
          <w:szCs w:val="20"/>
        </w:rPr>
        <w:t xml:space="preserve">Matthew Sag, </w:t>
      </w:r>
      <w:r w:rsidRPr="006024F5">
        <w:rPr>
          <w:rFonts w:ascii="TimesNewRomanPSMT" w:hAnsi="TimesNewRomanPSMT" w:cs="TimesNewRomanPSMT"/>
          <w:i/>
          <w:color w:val="1F1F1F"/>
          <w:kern w:val="0"/>
          <w:sz w:val="20"/>
          <w:szCs w:val="20"/>
        </w:rPr>
        <w:t>Fairness and Fair Use in Generative AI</w:t>
      </w:r>
      <w:r>
        <w:rPr>
          <w:rFonts w:ascii="TimesNewRomanPSMT" w:hAnsi="TimesNewRomanPSMT" w:cs="TimesNewRomanPSMT"/>
          <w:color w:val="1F1F1F"/>
          <w:kern w:val="0"/>
          <w:sz w:val="20"/>
          <w:szCs w:val="20"/>
        </w:rPr>
        <w:t xml:space="preserve">, 92 </w:t>
      </w:r>
      <w:r w:rsidRPr="000754F6">
        <w:rPr>
          <w:rFonts w:ascii="TimesNewRomanPSMT" w:hAnsi="TimesNewRomanPSMT" w:cs="TimesNewRomanPSMT"/>
          <w:smallCaps/>
          <w:color w:val="1F1F1F"/>
          <w:kern w:val="0"/>
          <w:sz w:val="20"/>
          <w:szCs w:val="20"/>
        </w:rPr>
        <w:t>Fordham L. Rev.</w:t>
      </w:r>
      <w:r>
        <w:rPr>
          <w:rFonts w:ascii="TimesNewRomanPSMT" w:hAnsi="TimesNewRomanPSMT" w:cs="TimesNewRomanPSMT"/>
          <w:color w:val="1F1F1F"/>
          <w:kern w:val="0"/>
          <w:sz w:val="20"/>
          <w:szCs w:val="20"/>
        </w:rPr>
        <w:t xml:space="preserve"> 1887, 1907 (2024).</w:t>
      </w:r>
    </w:p>
  </w:footnote>
  <w:footnote w:id="138">
    <w:p w14:paraId="7E212697" w14:textId="4E52F43A" w:rsidR="00101059" w:rsidRPr="0057024A" w:rsidRDefault="00101059" w:rsidP="00256E53">
      <w:pPr>
        <w:pStyle w:val="FootnoteText"/>
      </w:pPr>
      <w:r w:rsidRPr="0057024A">
        <w:rPr>
          <w:rStyle w:val="FootnoteReference"/>
        </w:rPr>
        <w:footnoteRef/>
      </w:r>
      <w:r w:rsidRPr="0057024A">
        <w:t xml:space="preserve"> </w:t>
      </w:r>
      <w:r w:rsidRPr="0057024A">
        <w:rPr>
          <w:rFonts w:eastAsia="Times New Roman"/>
        </w:rPr>
        <w:t>Burrow-Giles Lithographic Co. v. Sarony</w:t>
      </w:r>
      <w:r w:rsidRPr="0057024A">
        <w:t>, 111 U.S. 53, 58–60 (1884) (recognizing authorship where photographer exercised creative control over composition).</w:t>
      </w:r>
    </w:p>
  </w:footnote>
  <w:footnote w:id="139">
    <w:p w14:paraId="58D26EAF" w14:textId="7C4C2DBE"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w:t>
      </w:r>
      <w:r w:rsidRPr="009451CA">
        <w:rPr>
          <w:i/>
          <w:iCs/>
        </w:rPr>
        <w:t>Copyright Office: Part 2</w:t>
      </w:r>
      <w:r w:rsidRPr="0057024A">
        <w:rPr>
          <w:rFonts w:eastAsia="Times New Roman"/>
          <w:kern w:val="0"/>
          <w14:ligatures w14:val="none"/>
        </w:rPr>
        <w:t xml:space="preserve">, </w:t>
      </w:r>
      <w:r w:rsidRPr="00A83C40">
        <w:rPr>
          <w:rFonts w:eastAsia="Times New Roman"/>
          <w:i/>
          <w:iCs/>
          <w:kern w:val="0"/>
          <w14:ligatures w14:val="none"/>
        </w:rPr>
        <w:t xml:space="preserve">supra </w:t>
      </w:r>
      <w:r w:rsidRPr="0057024A">
        <w:rPr>
          <w:rFonts w:eastAsia="Times New Roman"/>
          <w:kern w:val="0"/>
          <w14:ligatures w14:val="none"/>
        </w:rPr>
        <w:t xml:space="preserve">note 1, at </w:t>
      </w:r>
      <w:r w:rsidRPr="0057024A">
        <w:t>13–22 (noting that prompt design alone does not establish authorship but iterative, creative prompting may).</w:t>
      </w:r>
    </w:p>
  </w:footnote>
  <w:footnote w:id="140">
    <w:p w14:paraId="1BED04EC" w14:textId="03D9A49F"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Thaler v. Perlmutter, No. 22-1564, 2023 WL 5333236, at *4 (D.D.C. Mar. 18, 2025) (holding that works generated entirely by AI are uncopyrightable absent human authorship).</w:t>
      </w:r>
    </w:p>
  </w:footnote>
  <w:footnote w:id="141">
    <w:p w14:paraId="6EE280F0" w14:textId="528A05BB"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*6 (noting that copyright protects “human authorship and the creative spark” only);</w:t>
      </w:r>
      <w:r w:rsidRPr="0057024A">
        <w:rPr>
          <w:rFonts w:eastAsia="Times New Roman"/>
          <w:smallCaps/>
        </w:rPr>
        <w:t xml:space="preserve"> </w:t>
      </w:r>
      <w:r w:rsidRPr="009451CA">
        <w:rPr>
          <w:rFonts w:eastAsia="Times New Roman"/>
          <w:i/>
          <w:iCs/>
        </w:rPr>
        <w:t>Copyright Office: Part 2</w:t>
      </w:r>
      <w:r w:rsidRPr="0057024A">
        <w:t xml:space="preserve">, </w:t>
      </w:r>
      <w:r w:rsidRPr="00A83C40">
        <w:rPr>
          <w:i/>
          <w:iCs/>
        </w:rPr>
        <w:t xml:space="preserve">supra </w:t>
      </w:r>
      <w:r w:rsidRPr="0057024A">
        <w:t>note 1, at 27 (clarifying case-by-case analysis for AI-assisted works).</w:t>
      </w:r>
    </w:p>
  </w:footnote>
  <w:footnote w:id="142">
    <w:p w14:paraId="05A46E95" w14:textId="445A178E" w:rsidR="00101059" w:rsidRPr="0057024A" w:rsidRDefault="00101059" w:rsidP="00256E53">
      <w:pPr>
        <w:pStyle w:val="FootnoteText"/>
      </w:pPr>
      <w:r w:rsidRPr="0057024A">
        <w:rPr>
          <w:rStyle w:val="FootnoteReference"/>
        </w:rPr>
        <w:footnoteRef/>
      </w:r>
      <w:r w:rsidRPr="0057024A">
        <w:t xml:space="preserve"> Meshwerks, Inc. v. Toyota Motor Sales U.S.A., Inc., 528 F.3d 1258, 1262–68 (10th Cir. 2008) (finding that a digital model that merely replicated an existing vehicle lacked original expression).</w:t>
      </w:r>
    </w:p>
  </w:footnote>
  <w:footnote w:id="143">
    <w:p w14:paraId="29404154" w14:textId="77777777" w:rsidR="00101059" w:rsidRPr="0057024A" w:rsidRDefault="00101059" w:rsidP="00256E53">
      <w:pPr>
        <w:pStyle w:val="FootnoteText"/>
      </w:pPr>
      <w:r w:rsidRPr="0057024A">
        <w:rPr>
          <w:rStyle w:val="FootnoteReference"/>
        </w:rPr>
        <w:footnoteRef/>
      </w:r>
      <w:r w:rsidRPr="0057024A">
        <w:t xml:space="preserve"> </w:t>
      </w:r>
      <w:r w:rsidRPr="0057024A">
        <w:rPr>
          <w:rStyle w:val="Emphasis"/>
          <w:i w:val="0"/>
          <w:iCs w:val="0"/>
        </w:rPr>
        <w:t xml:space="preserve">Campbell, </w:t>
      </w:r>
      <w:r w:rsidRPr="0057024A">
        <w:t xml:space="preserve">510 U.S. at </w:t>
      </w:r>
      <w:r w:rsidRPr="0057024A">
        <w:rPr>
          <w:rFonts w:eastAsia="Times New Roman"/>
          <w:kern w:val="0"/>
          <w14:ligatures w14:val="none"/>
        </w:rPr>
        <w:t>579–83</w:t>
      </w:r>
      <w:r w:rsidRPr="0057024A">
        <w:t>.</w:t>
      </w:r>
    </w:p>
  </w:footnote>
  <w:footnote w:id="144">
    <w:p w14:paraId="2116ED70" w14:textId="5D44E8A1" w:rsidR="00101059" w:rsidRPr="0057024A" w:rsidRDefault="00101059" w:rsidP="00256E53">
      <w:pPr>
        <w:pStyle w:val="FootnoteText"/>
      </w:pPr>
      <w:r w:rsidRPr="0057024A">
        <w:rPr>
          <w:rStyle w:val="FootnoteReference"/>
        </w:rPr>
        <w:footnoteRef/>
      </w:r>
      <w:r w:rsidRPr="0057024A">
        <w:t xml:space="preserve"> Authors Guild v. Google, Inc., 804 F.3d 202, 214–26 (2d Cir. 2015).</w:t>
      </w:r>
    </w:p>
  </w:footnote>
  <w:footnote w:id="145">
    <w:p w14:paraId="079FA4D4" w14:textId="230BF51B" w:rsidR="00101059" w:rsidRPr="0057024A" w:rsidRDefault="00101059" w:rsidP="00256E53">
      <w:pPr>
        <w:pStyle w:val="FootnoteText"/>
      </w:pPr>
      <w:r w:rsidRPr="0057024A">
        <w:rPr>
          <w:rStyle w:val="FootnoteReference"/>
        </w:rPr>
        <w:footnoteRef/>
      </w:r>
      <w:r w:rsidRPr="0057024A">
        <w:t xml:space="preserve"> Kelly v. Arriba Soft Corp., 336 F.3d at 818–22 (9th Cir. 2003) (</w:t>
      </w:r>
      <w:r>
        <w:t xml:space="preserve">finding </w:t>
      </w:r>
      <w:r w:rsidRPr="0057024A">
        <w:t>thumbnail search images transformative because they served an informational purpose distinct from the originals).</w:t>
      </w:r>
    </w:p>
  </w:footnote>
  <w:footnote w:id="146">
    <w:p w14:paraId="128302E7" w14:textId="5E9011E1" w:rsidR="00101059" w:rsidRPr="0057024A" w:rsidRDefault="00101059" w:rsidP="00256E53">
      <w:pPr>
        <w:pStyle w:val="FootnoteText"/>
      </w:pPr>
      <w:r w:rsidRPr="0057024A">
        <w:rPr>
          <w:rStyle w:val="FootnoteReference"/>
        </w:rPr>
        <w:footnoteRef/>
      </w:r>
      <w:r w:rsidRPr="0057024A">
        <w:t xml:space="preserve"> Perfect 10, Inc. v. Amazon.com, Inc., 508 F.3d 1146, 1165–68 (9th Cir. 2007) (</w:t>
      </w:r>
      <w:r>
        <w:t xml:space="preserve">holding that </w:t>
      </w:r>
      <w:r w:rsidRPr="0057024A">
        <w:t>image-search indexing constituted a transformative use furthering public access to information).</w:t>
      </w:r>
    </w:p>
  </w:footnote>
  <w:footnote w:id="147">
    <w:p w14:paraId="47132000" w14:textId="39894F83" w:rsidR="00101059" w:rsidRPr="0057024A" w:rsidRDefault="00101059" w:rsidP="00256E53">
      <w:pPr>
        <w:pStyle w:val="FootnoteText"/>
      </w:pPr>
      <w:r w:rsidRPr="0057024A">
        <w:rPr>
          <w:rStyle w:val="FootnoteReference"/>
        </w:rPr>
        <w:footnoteRef/>
      </w:r>
      <w:r w:rsidRPr="0057024A">
        <w:t xml:space="preserve"> </w:t>
      </w:r>
      <w:r w:rsidRPr="00870275">
        <w:rPr>
          <w:rFonts w:eastAsia="Times New Roman"/>
          <w:i/>
          <w:iCs/>
          <w:kern w:val="0"/>
          <w14:ligatures w14:val="none"/>
        </w:rPr>
        <w:t>See</w:t>
      </w:r>
      <w:r w:rsidRPr="0057024A">
        <w:rPr>
          <w:rFonts w:eastAsia="Times New Roman"/>
          <w:kern w:val="0"/>
          <w14:ligatures w14:val="none"/>
        </w:rPr>
        <w:t xml:space="preserve"> </w:t>
      </w:r>
      <w:r w:rsidRPr="0057024A">
        <w:t>Google LLC v. Oracle Am., Inc., 593 U.S. 493, 516–20 (2021)</w:t>
      </w:r>
      <w:r w:rsidRPr="0057024A">
        <w:rPr>
          <w:rFonts w:eastAsia="Times New Roman"/>
          <w:kern w:val="0"/>
          <w14:ligatures w14:val="none"/>
        </w:rPr>
        <w:t xml:space="preserve">; </w:t>
      </w:r>
      <w:r w:rsidRPr="0057024A">
        <w:t>Authors Guild v. HathiTrust, 755 F.3d 87, 96–99 (2d Cir. 2014)</w:t>
      </w:r>
      <w:r>
        <w:t xml:space="preserve"> [hereinafter </w:t>
      </w:r>
      <w:r w:rsidRPr="00376114">
        <w:rPr>
          <w:i/>
        </w:rPr>
        <w:t>HathiTrust</w:t>
      </w:r>
      <w:r>
        <w:t>].</w:t>
      </w:r>
    </w:p>
  </w:footnote>
  <w:footnote w:id="148">
    <w:p w14:paraId="7A1DBC01" w14:textId="7A377B77" w:rsidR="00101059" w:rsidRDefault="00101059">
      <w:pPr>
        <w:pStyle w:val="FootnoteText"/>
      </w:pPr>
      <w:r>
        <w:rPr>
          <w:rStyle w:val="FootnoteReference"/>
        </w:rPr>
        <w:footnoteRef/>
      </w:r>
      <w:r>
        <w:t xml:space="preserve"> Mark A. Lemley and Bryan Casey, </w:t>
      </w:r>
      <w:r w:rsidRPr="00F262D3">
        <w:rPr>
          <w:i/>
        </w:rPr>
        <w:t>Fair Learning</w:t>
      </w:r>
      <w:r>
        <w:t xml:space="preserve">, 99 </w:t>
      </w:r>
      <w:r w:rsidRPr="00F262D3">
        <w:rPr>
          <w:smallCaps/>
        </w:rPr>
        <w:t xml:space="preserve">Tex. L. Rev. </w:t>
      </w:r>
      <w:r>
        <w:t>743, 772 (2021).</w:t>
      </w:r>
    </w:p>
  </w:footnote>
  <w:footnote w:id="149">
    <w:p w14:paraId="548BB6D6" w14:textId="22A8621C" w:rsidR="00101059" w:rsidRDefault="00101059">
      <w:pPr>
        <w:pStyle w:val="FootnoteText"/>
      </w:pPr>
      <w:r>
        <w:rPr>
          <w:rStyle w:val="FootnoteReference"/>
        </w:rPr>
        <w:footnoteRef/>
      </w:r>
      <w:r>
        <w:t xml:space="preserve"> </w:t>
      </w:r>
      <w:r w:rsidRPr="00F262D3">
        <w:rPr>
          <w:i/>
        </w:rPr>
        <w:t>Id</w:t>
      </w:r>
      <w:r>
        <w:t>. at 776.</w:t>
      </w:r>
    </w:p>
  </w:footnote>
  <w:footnote w:id="150">
    <w:p w14:paraId="2230D01C" w14:textId="638E2AB0" w:rsidR="00101059" w:rsidRPr="0057024A" w:rsidRDefault="00101059" w:rsidP="009A4719">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Fonts w:ascii="Times New Roman" w:eastAsia="Times New Roman" w:hAnsi="Times New Roman" w:cs="Times New Roman"/>
          <w:sz w:val="20"/>
          <w:szCs w:val="20"/>
        </w:rPr>
        <w:t xml:space="preserve"> </w:t>
      </w:r>
      <w:r w:rsidRPr="009451CA">
        <w:rPr>
          <w:rFonts w:ascii="Times New Roman" w:eastAsia="Times New Roman" w:hAnsi="Times New Roman" w:cs="Times New Roman"/>
          <w:i/>
          <w:iCs/>
          <w:sz w:val="20"/>
          <w:szCs w:val="20"/>
        </w:rPr>
        <w:t xml:space="preserve">Copyright Office: Part </w:t>
      </w:r>
      <w:r>
        <w:rPr>
          <w:rFonts w:ascii="Times New Roman" w:eastAsia="Times New Roman" w:hAnsi="Times New Roman" w:cs="Times New Roman"/>
          <w:i/>
          <w:iCs/>
          <w:sz w:val="20"/>
          <w:szCs w:val="20"/>
        </w:rPr>
        <w:t>3</w:t>
      </w:r>
      <w:r w:rsidRPr="0057024A">
        <w:rPr>
          <w:rFonts w:ascii="Times New Roman" w:eastAsia="Times New Roman" w:hAnsi="Times New Roman" w:cs="Times New Roman"/>
          <w:sz w:val="20"/>
          <w:szCs w:val="20"/>
        </w:rPr>
        <w:t xml:space="preserve">, </w:t>
      </w:r>
      <w:r w:rsidRPr="00A83C40">
        <w:rPr>
          <w:rFonts w:ascii="Times New Roman" w:eastAsia="Times New Roman" w:hAnsi="Times New Roman" w:cs="Times New Roman"/>
          <w:i/>
          <w:sz w:val="20"/>
          <w:szCs w:val="20"/>
        </w:rPr>
        <w:t xml:space="preserve">supra </w:t>
      </w:r>
      <w:r w:rsidRPr="0057024A">
        <w:rPr>
          <w:rFonts w:ascii="Times New Roman" w:eastAsia="Times New Roman" w:hAnsi="Times New Roman" w:cs="Times New Roman"/>
          <w:sz w:val="20"/>
          <w:szCs w:val="20"/>
        </w:rPr>
        <w:t xml:space="preserve">note 1, at </w:t>
      </w:r>
      <w:r>
        <w:rPr>
          <w:rFonts w:ascii="Times New Roman" w:eastAsia="Times New Roman" w:hAnsi="Times New Roman" w:cs="Times New Roman"/>
          <w:sz w:val="20"/>
          <w:szCs w:val="20"/>
        </w:rPr>
        <w:t>6</w:t>
      </w:r>
      <w:r w:rsidRPr="0057024A">
        <w:rPr>
          <w:rFonts w:ascii="Times New Roman" w:eastAsia="Times New Roman" w:hAnsi="Times New Roman" w:cs="Times New Roman"/>
          <w:sz w:val="20"/>
          <w:szCs w:val="20"/>
        </w:rPr>
        <w:t>1–</w:t>
      </w:r>
      <w:r>
        <w:rPr>
          <w:rFonts w:ascii="Times New Roman" w:eastAsia="Times New Roman" w:hAnsi="Times New Roman" w:cs="Times New Roman"/>
          <w:sz w:val="20"/>
          <w:szCs w:val="20"/>
        </w:rPr>
        <w:t>84</w:t>
      </w:r>
      <w:r w:rsidRPr="0057024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discussing</w:t>
      </w:r>
      <w:r w:rsidRPr="0057024A">
        <w:rPr>
          <w:rFonts w:ascii="Times New Roman" w:eastAsia="Times New Roman" w:hAnsi="Times New Roman" w:cs="Times New Roman"/>
          <w:sz w:val="20"/>
          <w:szCs w:val="20"/>
        </w:rPr>
        <w:t xml:space="preserve"> fair use</w:t>
      </w:r>
      <w:r>
        <w:rPr>
          <w:rFonts w:ascii="Times New Roman" w:eastAsia="Times New Roman" w:hAnsi="Times New Roman" w:cs="Times New Roman"/>
          <w:sz w:val="20"/>
          <w:szCs w:val="20"/>
        </w:rPr>
        <w:t xml:space="preserve"> factor four</w:t>
      </w:r>
      <w:r w:rsidRPr="0057024A">
        <w:rPr>
          <w:rFonts w:ascii="Times New Roman" w:eastAsia="Times New Roman" w:hAnsi="Times New Roman" w:cs="Times New Roman"/>
          <w:sz w:val="20"/>
          <w:szCs w:val="20"/>
        </w:rPr>
        <w:t>).</w:t>
      </w:r>
    </w:p>
  </w:footnote>
  <w:footnote w:id="151">
    <w:p w14:paraId="103309F9" w14:textId="471C81F0" w:rsidR="00101059" w:rsidRPr="0057024A" w:rsidRDefault="00101059" w:rsidP="00256E53">
      <w:pPr>
        <w:pStyle w:val="FootnoteText"/>
      </w:pPr>
      <w:r w:rsidRPr="0057024A">
        <w:rPr>
          <w:rStyle w:val="FootnoteReference"/>
        </w:rPr>
        <w:footnoteRef/>
      </w:r>
      <w:r w:rsidRPr="0057024A">
        <w:t xml:space="preserve"> Feist Publ’ns, Inc. v. Rural Tel. Serv. Co., 499 U.S. 340, 345–48 (1991) (requiring independent creation and a modicum of creativity).</w:t>
      </w:r>
    </w:p>
  </w:footnote>
  <w:footnote w:id="152">
    <w:p w14:paraId="111256A3" w14:textId="58AB12D5" w:rsidR="00101059" w:rsidRPr="0057024A" w:rsidRDefault="00101059" w:rsidP="00256E53">
      <w:pPr>
        <w:pStyle w:val="FootnoteText"/>
      </w:pPr>
      <w:r w:rsidRPr="0057024A">
        <w:rPr>
          <w:rStyle w:val="FootnoteReference"/>
        </w:rPr>
        <w:footnoteRef/>
      </w:r>
      <w:r w:rsidRPr="0057024A">
        <w:t xml:space="preserve"> </w:t>
      </w:r>
      <w:r w:rsidRPr="009451CA">
        <w:rPr>
          <w:i/>
          <w:iCs/>
        </w:rPr>
        <w:t>Copyright Registration Guidance</w:t>
      </w:r>
      <w:r w:rsidRPr="0057024A">
        <w:t xml:space="preserve">, </w:t>
      </w:r>
      <w:r w:rsidRPr="00A83C40">
        <w:rPr>
          <w:i/>
          <w:iCs/>
        </w:rPr>
        <w:t xml:space="preserve">supra </w:t>
      </w:r>
      <w:r w:rsidRPr="0057024A">
        <w:t>note 1, at 2 (stating that the term “author,” as used in both the U.S. Constitution and in the Copyright Act excludes non-humans).</w:t>
      </w:r>
    </w:p>
  </w:footnote>
  <w:footnote w:id="153">
    <w:p w14:paraId="079276DC" w14:textId="4CE51198" w:rsidR="00101059" w:rsidRPr="0057024A" w:rsidRDefault="00101059" w:rsidP="00256E53">
      <w:pPr>
        <w:pStyle w:val="FootnoteText"/>
      </w:pPr>
      <w:r w:rsidRPr="0057024A">
        <w:rPr>
          <w:rStyle w:val="FootnoteReference"/>
        </w:rPr>
        <w:footnoteRef/>
      </w:r>
      <w:r w:rsidRPr="0057024A">
        <w:t xml:space="preserve"> Burrow-Giles Lithographic Co. v. Sarony, 111 U.S. 53, 58–60 (1884) (recognizing authorship where a photographer exercised creative control over the composition).</w:t>
      </w:r>
    </w:p>
  </w:footnote>
  <w:footnote w:id="154">
    <w:p w14:paraId="18E68445" w14:textId="5DA0A840" w:rsidR="00101059" w:rsidRPr="0057024A" w:rsidRDefault="00101059" w:rsidP="00256E53">
      <w:pPr>
        <w:pStyle w:val="FootnoteText"/>
      </w:pPr>
      <w:r w:rsidRPr="0057024A">
        <w:rPr>
          <w:rStyle w:val="FootnoteReference"/>
        </w:rPr>
        <w:footnoteRef/>
      </w:r>
      <w:r w:rsidRPr="0057024A">
        <w:t xml:space="preserve"> </w:t>
      </w:r>
      <w:r w:rsidRPr="00684F08">
        <w:rPr>
          <w:i/>
        </w:rPr>
        <w:t>Id</w:t>
      </w:r>
      <w:r w:rsidRPr="0057024A">
        <w:t xml:space="preserve">. </w:t>
      </w:r>
    </w:p>
  </w:footnote>
  <w:footnote w:id="155">
    <w:p w14:paraId="5E6CF895" w14:textId="7B5B5873" w:rsidR="00101059" w:rsidRPr="006905CD" w:rsidRDefault="00101059" w:rsidP="00C04976">
      <w:pPr>
        <w:spacing w:after="0" w:line="240" w:lineRule="auto"/>
        <w:rPr>
          <w:rFonts w:ascii="Times New Roman" w:eastAsia="Times New Roman" w:hAnsi="Times New Roman" w:cs="Times New Roman"/>
          <w:sz w:val="20"/>
          <w:szCs w:val="20"/>
        </w:rPr>
      </w:pPr>
      <w:r w:rsidRPr="0057024A">
        <w:rPr>
          <w:rStyle w:val="FootnoteReference"/>
          <w:rFonts w:ascii="Times New Roman" w:hAnsi="Times New Roman" w:cs="Times New Roman"/>
          <w:sz w:val="20"/>
          <w:szCs w:val="20"/>
        </w:rPr>
        <w:footnoteRef/>
      </w:r>
      <w:r w:rsidRPr="0057024A">
        <w:rPr>
          <w:rStyle w:val="FootnoteReference"/>
          <w:rFonts w:ascii="Times New Roman" w:hAnsi="Times New Roman"/>
          <w:sz w:val="20"/>
          <w:szCs w:val="20"/>
        </w:rPr>
        <w:t xml:space="preserve"> </w:t>
      </w:r>
      <w:bookmarkStart w:id="42" w:name="_Hlk218946598"/>
      <w:r w:rsidRPr="00870275">
        <w:rPr>
          <w:rFonts w:ascii="Times New Roman" w:eastAsia="Times New Roman" w:hAnsi="Times New Roman" w:cs="Times New Roman"/>
          <w:i/>
          <w:sz w:val="20"/>
          <w:szCs w:val="20"/>
        </w:rPr>
        <w:t>See</w:t>
      </w:r>
      <w:r>
        <w:rPr>
          <w:rFonts w:ascii="Times New Roman" w:eastAsia="Times New Roman" w:hAnsi="Times New Roman" w:cs="Times New Roman"/>
          <w:i/>
          <w:sz w:val="20"/>
          <w:szCs w:val="20"/>
        </w:rPr>
        <w:t xml:space="preserve"> </w:t>
      </w:r>
      <w:bookmarkEnd w:id="42"/>
      <w:r>
        <w:rPr>
          <w:rFonts w:ascii="Times New Roman" w:eastAsia="Times New Roman" w:hAnsi="Times New Roman" w:cs="Times New Roman"/>
          <w:i/>
          <w:sz w:val="20"/>
          <w:szCs w:val="20"/>
        </w:rPr>
        <w:t xml:space="preserve">supra </w:t>
      </w:r>
      <w:r w:rsidRPr="006905CD">
        <w:rPr>
          <w:rFonts w:ascii="Times New Roman" w:eastAsia="Times New Roman" w:hAnsi="Times New Roman" w:cs="Times New Roman"/>
          <w:sz w:val="20"/>
          <w:szCs w:val="20"/>
        </w:rPr>
        <w:t>note 40</w:t>
      </w:r>
      <w:r>
        <w:rPr>
          <w:rFonts w:ascii="Times New Roman" w:eastAsia="Times New Roman" w:hAnsi="Times New Roman" w:cs="Times New Roman"/>
          <w:sz w:val="20"/>
          <w:szCs w:val="20"/>
        </w:rPr>
        <w:t>.</w:t>
      </w:r>
    </w:p>
  </w:footnote>
  <w:footnote w:id="156">
    <w:p w14:paraId="58C2E1E0" w14:textId="618209F6" w:rsidR="00101059" w:rsidRPr="006829CD"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Nichols v. Universal Pictures Corp., 45 F.2d 119, 121–2</w:t>
      </w:r>
      <w:r>
        <w:t>3</w:t>
      </w:r>
      <w:r w:rsidRPr="0057024A">
        <w:t xml:space="preserve"> (2d Cir. 1930) (</w:t>
      </w:r>
      <w:r>
        <w:t>discussing the idea-expression boundary and the “substantial similarity” standard in a case where the author of a play called “Abie’s Irish Rose” sued the producer of an allegedly infringing motion picture called “The Cohens and the Kellys”</w:t>
      </w:r>
      <w:r w:rsidRPr="0057024A">
        <w:t>).</w:t>
      </w:r>
      <w:r>
        <w:t xml:space="preserve"> This case foreshadows the issues discussed above regarding </w:t>
      </w:r>
      <w:r w:rsidRPr="001F431A">
        <w:rPr>
          <w:i/>
        </w:rPr>
        <w:t>Harry Potter</w:t>
      </w:r>
      <w:r>
        <w:rPr>
          <w:i/>
        </w:rPr>
        <w:t xml:space="preserve">, </w:t>
      </w:r>
      <w:r>
        <w:t xml:space="preserve">the </w:t>
      </w:r>
      <w:r w:rsidRPr="00F04F3B">
        <w:rPr>
          <w:i/>
        </w:rPr>
        <w:t>Pac-Man</w:t>
      </w:r>
      <w:r>
        <w:t xml:space="preserve">. Case, and the Marvin Gaye cases. </w:t>
      </w:r>
      <w:r w:rsidRPr="006829CD">
        <w:rPr>
          <w:i/>
        </w:rPr>
        <w:t>See supra</w:t>
      </w:r>
      <w:r>
        <w:t xml:space="preserve"> Parts I.C., IV.A., and IV.B., respectively.</w:t>
      </w:r>
    </w:p>
  </w:footnote>
  <w:footnote w:id="157">
    <w:p w14:paraId="476024FE" w14:textId="0451DB51" w:rsidR="00101059" w:rsidRPr="0057024A" w:rsidRDefault="00101059" w:rsidP="00256E53">
      <w:pPr>
        <w:pStyle w:val="FootnoteText"/>
      </w:pPr>
      <w:r w:rsidRPr="0057024A">
        <w:rPr>
          <w:rStyle w:val="FootnoteReference"/>
        </w:rPr>
        <w:footnoteRef/>
      </w:r>
      <w:r w:rsidRPr="0057024A">
        <w:t xml:space="preserve"> Atari, Inc. v. N. Am. Philips Consumer Elecs. Corp., 672 F.2d 607, 616–18 (7th Cir. 1982); Williams v. Gaye, 885 F.3d 1150, 1170–76 (9th Cir. 2018); </w:t>
      </w:r>
      <w:r w:rsidRPr="00870275">
        <w:rPr>
          <w:i/>
          <w:iCs/>
        </w:rPr>
        <w:t>see</w:t>
      </w:r>
      <w:r w:rsidRPr="0057024A">
        <w:t xml:space="preserve"> </w:t>
      </w:r>
      <w:r w:rsidRPr="00A83C40">
        <w:rPr>
          <w:i/>
          <w:iCs/>
        </w:rPr>
        <w:t xml:space="preserve">supra </w:t>
      </w:r>
      <w:r w:rsidRPr="0057024A">
        <w:t>Part I</w:t>
      </w:r>
      <w:r>
        <w:t>V</w:t>
      </w:r>
      <w:r w:rsidRPr="0057024A">
        <w:t xml:space="preserve"> (discussing substantial-similarity and “look and feel” analysis).</w:t>
      </w:r>
    </w:p>
  </w:footnote>
  <w:footnote w:id="158">
    <w:p w14:paraId="0141E915" w14:textId="72423CB4"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Sega Enters. Ltd. v. Accolade, Inc., 977 F.2d 1510, 1520 (9th Cir. 1992) (holding that reverse engineering object code was fair use); Sony Comput. Ent., Inc. v. Connectix Corp., 203 F.3d 596, 599 (9th Cir. 2000) (holding that reverse engineering object code was fair use).</w:t>
      </w:r>
      <w:r>
        <w:t xml:space="preserve"> For an excellent history of the early computer cases, </w:t>
      </w:r>
      <w:r w:rsidRPr="00CA19C4">
        <w:rPr>
          <w:i/>
        </w:rPr>
        <w:t>see</w:t>
      </w:r>
      <w:r>
        <w:t xml:space="preserve"> </w:t>
      </w:r>
      <w:r>
        <w:rPr>
          <w:iCs/>
        </w:rPr>
        <w:t xml:space="preserve">Mark A. Lemley and Pamela Samuelson, </w:t>
      </w:r>
      <w:r w:rsidRPr="00B65E54">
        <w:rPr>
          <w:i/>
          <w:iCs/>
        </w:rPr>
        <w:t>Interfaces and Interoperability After Google v. Oracle</w:t>
      </w:r>
      <w:r>
        <w:rPr>
          <w:iCs/>
        </w:rPr>
        <w:t xml:space="preserve">, 100 </w:t>
      </w:r>
      <w:r w:rsidRPr="00B65E54">
        <w:rPr>
          <w:iCs/>
          <w:smallCaps/>
        </w:rPr>
        <w:t>Tex. L. Rev.</w:t>
      </w:r>
      <w:r>
        <w:rPr>
          <w:iCs/>
        </w:rPr>
        <w:t xml:space="preserve"> 1, 6-32 (2021).</w:t>
      </w:r>
      <w:r>
        <w:t xml:space="preserve"> </w:t>
      </w:r>
    </w:p>
  </w:footnote>
  <w:footnote w:id="159">
    <w:p w14:paraId="5F298D46" w14:textId="589A1B5C"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Apple Comput., Inc. v. Microsoft Corp., 35 F.3d 1435, 1443 (9th Cir. 1994) (“It is not easy to distinguish expression from ideas, particularly in a new medium. However, it must be done . . .Apple cannot get patent-like protection for the idea of a graphical user interface”).</w:t>
      </w:r>
      <w:r>
        <w:t xml:space="preserve"> For an excellent discussion of software interfaces and interoperability after </w:t>
      </w:r>
      <w:r w:rsidRPr="00E2707F">
        <w:rPr>
          <w:i/>
        </w:rPr>
        <w:t>Google v. Oracle</w:t>
      </w:r>
      <w:r>
        <w:t xml:space="preserve">, </w:t>
      </w:r>
      <w:r w:rsidRPr="00CA19C4">
        <w:rPr>
          <w:i/>
        </w:rPr>
        <w:t>see</w:t>
      </w:r>
      <w:r>
        <w:t xml:space="preserve"> Lemley and Samuelson, </w:t>
      </w:r>
      <w:r w:rsidRPr="00CA19C4">
        <w:rPr>
          <w:i/>
        </w:rPr>
        <w:t>supra</w:t>
      </w:r>
      <w:r>
        <w:t xml:space="preserve"> note 158, at 32-39.</w:t>
      </w:r>
    </w:p>
  </w:footnote>
  <w:footnote w:id="160">
    <w:p w14:paraId="7280E804" w14:textId="23A218E0" w:rsidR="00101059" w:rsidRPr="0057024A" w:rsidRDefault="00101059" w:rsidP="00256E53">
      <w:pPr>
        <w:pStyle w:val="FootnoteText"/>
      </w:pPr>
      <w:r w:rsidRPr="0057024A">
        <w:rPr>
          <w:rStyle w:val="FootnoteReference"/>
        </w:rPr>
        <w:footnoteRef/>
      </w:r>
      <w:r w:rsidRPr="0057024A">
        <w:t xml:space="preserve"> </w:t>
      </w:r>
      <w:r w:rsidRPr="00870275">
        <w:rPr>
          <w:i/>
          <w:iCs/>
        </w:rPr>
        <w:t>See</w:t>
      </w:r>
      <w:r w:rsidRPr="0057024A">
        <w:t xml:space="preserve"> Griffin v. Sheeran, 673 F.Supp.3d 415 (S.D.N.Y. 2021) (following jury trial, granting summary judgment for defendant on reconsideration by distinguishing between idea and expression), 120 F.4th 13, 1066 (2d Cir. 2024) (affirming summary judgment), cert. denied, 145 S. Ct. 2792 (2025).</w:t>
      </w:r>
    </w:p>
  </w:footnote>
  <w:footnote w:id="161">
    <w:p w14:paraId="6BA88366" w14:textId="4D423628" w:rsidR="00101059" w:rsidRDefault="00101059" w:rsidP="00A2646B">
      <w:pPr>
        <w:pStyle w:val="FootnoteText"/>
      </w:pPr>
      <w:r>
        <w:rPr>
          <w:rStyle w:val="FootnoteReference"/>
        </w:rPr>
        <w:footnoteRef/>
      </w:r>
      <w:r>
        <w:t xml:space="preserve"> A. Feder Cooper and James Grimmelmann, </w:t>
      </w:r>
      <w:r w:rsidRPr="005129D6">
        <w:rPr>
          <w:i/>
        </w:rPr>
        <w:t>The Files Are in the Computer: On Copyright, Memorization, and Generative AI</w:t>
      </w:r>
      <w:r>
        <w:t xml:space="preserve">, 100 </w:t>
      </w:r>
      <w:r w:rsidRPr="005129D6">
        <w:rPr>
          <w:smallCaps/>
        </w:rPr>
        <w:t>Chicago-Kent L. Rev.</w:t>
      </w:r>
      <w:r>
        <w:t xml:space="preserve"> 141, 159 (2025); </w:t>
      </w:r>
      <w:r w:rsidRPr="00F86020">
        <w:rPr>
          <w:i/>
        </w:rPr>
        <w:t>see</w:t>
      </w:r>
      <w:r>
        <w:t xml:space="preserve"> </w:t>
      </w:r>
      <w:r w:rsidRPr="00F86020">
        <w:rPr>
          <w:i/>
        </w:rPr>
        <w:t>Copyright Office: Part 3</w:t>
      </w:r>
      <w:r>
        <w:t xml:space="preserve">, </w:t>
      </w:r>
      <w:r w:rsidRPr="00F86020">
        <w:rPr>
          <w:i/>
        </w:rPr>
        <w:t>supra</w:t>
      </w:r>
      <w:r>
        <w:t xml:space="preserve"> note 1, at 19-21 (discussing memorization).</w:t>
      </w:r>
    </w:p>
  </w:footnote>
  <w:footnote w:id="162">
    <w:p w14:paraId="18CC5C85" w14:textId="53093A98" w:rsidR="00101059" w:rsidRDefault="00101059">
      <w:pPr>
        <w:pStyle w:val="FootnoteText"/>
      </w:pPr>
      <w:r>
        <w:rPr>
          <w:rStyle w:val="FootnoteReference"/>
        </w:rPr>
        <w:footnoteRef/>
      </w:r>
      <w:r>
        <w:t xml:space="preserve"> </w:t>
      </w:r>
      <w:r w:rsidRPr="001D3A08">
        <w:rPr>
          <w:i/>
        </w:rPr>
        <w:t>Id</w:t>
      </w:r>
      <w:r>
        <w:t>.</w:t>
      </w:r>
    </w:p>
  </w:footnote>
  <w:footnote w:id="163">
    <w:p w14:paraId="3AC5D8EA" w14:textId="77777777" w:rsidR="00101059" w:rsidRDefault="00101059" w:rsidP="00A2646B">
      <w:pPr>
        <w:pStyle w:val="FootnoteText"/>
      </w:pPr>
      <w:r>
        <w:rPr>
          <w:rStyle w:val="FootnoteReference"/>
        </w:rPr>
        <w:footnoteRef/>
      </w:r>
      <w:r>
        <w:t xml:space="preserve"> Matthew Sag, </w:t>
      </w:r>
      <w:r w:rsidRPr="000B4B18">
        <w:rPr>
          <w:i/>
        </w:rPr>
        <w:t>Copyright Safety for Generative AI</w:t>
      </w:r>
      <w:r>
        <w:t xml:space="preserve">, 61 </w:t>
      </w:r>
      <w:r w:rsidRPr="000B4B18">
        <w:rPr>
          <w:smallCaps/>
        </w:rPr>
        <w:t>Hous. L. Rev.</w:t>
      </w:r>
      <w:r>
        <w:t xml:space="preserve"> 295, 343 (2023).</w:t>
      </w:r>
    </w:p>
  </w:footnote>
  <w:footnote w:id="164">
    <w:p w14:paraId="4A046543" w14:textId="51004BE8" w:rsidR="00101059" w:rsidRDefault="00101059" w:rsidP="002B35EF">
      <w:pPr>
        <w:pStyle w:val="FootnoteText"/>
      </w:pPr>
      <w:r>
        <w:rPr>
          <w:rStyle w:val="FootnoteReference"/>
        </w:rPr>
        <w:footnoteRef/>
      </w:r>
      <w:r>
        <w:t xml:space="preserve"> </w:t>
      </w:r>
      <w:r w:rsidRPr="002B35EF">
        <w:t>A. Feder Cooper, Christopher Choquette-Choo, Miranda Bogen, Matthew</w:t>
      </w:r>
      <w:r>
        <w:t xml:space="preserve"> </w:t>
      </w:r>
      <w:r w:rsidRPr="002B35EF">
        <w:t xml:space="preserve">Jagielski, Katja Filippova, Ken Ziyu Liu et al., </w:t>
      </w:r>
      <w:r w:rsidRPr="002B35EF">
        <w:rPr>
          <w:i/>
          <w:iCs/>
        </w:rPr>
        <w:t>Machine Unlearning Doesn't Do What You</w:t>
      </w:r>
      <w:r>
        <w:rPr>
          <w:i/>
          <w:iCs/>
        </w:rPr>
        <w:t xml:space="preserve"> </w:t>
      </w:r>
      <w:r w:rsidRPr="002B35EF">
        <w:rPr>
          <w:i/>
          <w:iCs/>
        </w:rPr>
        <w:t xml:space="preserve">Think: Lessons for AI Policy, Research, and Practice </w:t>
      </w:r>
      <w:r w:rsidRPr="002B35EF">
        <w:t>(2024) (unpublished manuscript),</w:t>
      </w:r>
      <w:r>
        <w:t xml:space="preserve"> </w:t>
      </w:r>
      <w:hyperlink r:id="rId11" w:history="1">
        <w:r w:rsidRPr="00D2515A">
          <w:rPr>
            <w:rStyle w:val="Hyperlink"/>
          </w:rPr>
          <w:t>https://arxiv.org/abs/2412.06966</w:t>
        </w:r>
      </w:hyperlink>
      <w:r>
        <w:t xml:space="preserve"> </w:t>
      </w:r>
      <w:r w:rsidRPr="002B35EF">
        <w:t>.</w:t>
      </w:r>
      <w:r>
        <w:t xml:space="preserve"> It is interesting that some of the motivation to develop machine unlearning was to satisfy the Article 17 “right to erase” and “right to forget” requirements under the European Union’s General Data Protection Regulation, (</w:t>
      </w:r>
      <w:r w:rsidRPr="006B34BA">
        <w:t>Regulation (EU) 2016/679, 2016 O.J. (L 119) 1 (EU)</w:t>
      </w:r>
      <w:r>
        <w:t xml:space="preserve">); </w:t>
      </w:r>
      <w:r>
        <w:rPr>
          <w:i/>
        </w:rPr>
        <w:t>i</w:t>
      </w:r>
      <w:r w:rsidRPr="007629F1">
        <w:rPr>
          <w:i/>
        </w:rPr>
        <w:t>d</w:t>
      </w:r>
      <w:r>
        <w:t>. at 3.</w:t>
      </w:r>
    </w:p>
  </w:footnote>
  <w:footnote w:id="165">
    <w:p w14:paraId="686E8E81" w14:textId="268D3C4F" w:rsidR="00101059" w:rsidRDefault="00101059">
      <w:pPr>
        <w:pStyle w:val="FootnoteText"/>
      </w:pPr>
      <w:r>
        <w:rPr>
          <w:rStyle w:val="FootnoteReference"/>
        </w:rPr>
        <w:footnoteRef/>
      </w:r>
      <w:r>
        <w:t xml:space="preserve"> </w:t>
      </w:r>
      <w:r w:rsidRPr="002B35EF">
        <w:rPr>
          <w:i/>
        </w:rPr>
        <w:t>Id</w:t>
      </w:r>
      <w:r>
        <w:t>. at 8-9.</w:t>
      </w:r>
    </w:p>
  </w:footnote>
  <w:footnote w:id="166">
    <w:p w14:paraId="6AF690FA" w14:textId="0372B058" w:rsidR="00101059" w:rsidRDefault="00101059">
      <w:pPr>
        <w:pStyle w:val="FootnoteText"/>
      </w:pPr>
      <w:r>
        <w:rPr>
          <w:rStyle w:val="FootnoteReference"/>
        </w:rPr>
        <w:footnoteRef/>
      </w:r>
      <w:r>
        <w:t xml:space="preserve"> </w:t>
      </w:r>
      <w:r w:rsidRPr="002B35EF">
        <w:rPr>
          <w:i/>
        </w:rPr>
        <w:t>Id</w:t>
      </w:r>
      <w:r>
        <w:t>. at 9.</w:t>
      </w:r>
    </w:p>
  </w:footnote>
  <w:footnote w:id="167">
    <w:p w14:paraId="795F2EAC" w14:textId="63F877A8" w:rsidR="00101059" w:rsidRDefault="00101059">
      <w:pPr>
        <w:pStyle w:val="FootnoteText"/>
      </w:pPr>
      <w:r>
        <w:rPr>
          <w:rStyle w:val="FootnoteReference"/>
        </w:rPr>
        <w:footnoteRef/>
      </w:r>
      <w:r>
        <w:t xml:space="preserve"> </w:t>
      </w:r>
      <w:r w:rsidRPr="002B35EF">
        <w:rPr>
          <w:i/>
        </w:rPr>
        <w:t>Id</w:t>
      </w:r>
      <w:r>
        <w:t>.</w:t>
      </w:r>
    </w:p>
  </w:footnote>
  <w:footnote w:id="168">
    <w:p w14:paraId="52D058AD" w14:textId="77777777" w:rsidR="00101059" w:rsidRPr="0057024A" w:rsidRDefault="00101059" w:rsidP="00256E53">
      <w:pPr>
        <w:pStyle w:val="FootnoteText"/>
      </w:pPr>
      <w:r w:rsidRPr="0057024A">
        <w:rPr>
          <w:rStyle w:val="FootnoteReference"/>
        </w:rPr>
        <w:footnoteRef/>
      </w:r>
      <w:r w:rsidRPr="0057024A">
        <w:t xml:space="preserve"> 17 U.S.C. § 1201 et seq.</w:t>
      </w:r>
    </w:p>
  </w:footnote>
  <w:footnote w:id="169">
    <w:p w14:paraId="1C9BADF3" w14:textId="127637ED" w:rsidR="00101059" w:rsidRPr="002670BD" w:rsidRDefault="00101059" w:rsidP="002670BD">
      <w:pPr>
        <w:pStyle w:val="FootnoteText"/>
      </w:pPr>
      <w:r w:rsidRPr="0057024A">
        <w:rPr>
          <w:rStyle w:val="FootnoteReference"/>
        </w:rPr>
        <w:footnoteRef/>
      </w:r>
      <w:r w:rsidRPr="0057024A">
        <w:t xml:space="preserve"> 17 U.S.C. § 1201.</w:t>
      </w:r>
      <w:r>
        <w:t xml:space="preserve"> The DMCA claims, while largely being used to avoid the substantive copyright and fair use issues, may become part of the fair use analysis. As Matthew Sag states: “</w:t>
      </w:r>
      <w:r w:rsidRPr="002670BD">
        <w:t>The unfairness of systematic indirect expressive substitution seems particularly pronounced if that extraction is done by</w:t>
      </w:r>
      <w:r>
        <w:t xml:space="preserve"> </w:t>
      </w:r>
      <w:r w:rsidRPr="002670BD">
        <w:t>breaching paywalls or disregarding bot exclusion headers. It seems plausible that a court might extend the fourth factor to</w:t>
      </w:r>
      <w:r>
        <w:t xml:space="preserve"> </w:t>
      </w:r>
      <w:r w:rsidRPr="002670BD">
        <w:t>consider whether, in scraping material from the internet, the defendant ignored robot.txt files that indicated a desire to opt out</w:t>
      </w:r>
    </w:p>
    <w:p w14:paraId="7D470B69" w14:textId="43327EB4" w:rsidR="00101059" w:rsidRPr="0057024A" w:rsidRDefault="00101059" w:rsidP="002670BD">
      <w:pPr>
        <w:pStyle w:val="FootnoteText"/>
      </w:pPr>
      <w:r w:rsidRPr="002670BD">
        <w:t>of search engine indexing and similar activities.</w:t>
      </w:r>
      <w:r>
        <w:t xml:space="preserve"> Matthew Sag, </w:t>
      </w:r>
      <w:r w:rsidRPr="009451CA">
        <w:rPr>
          <w:i/>
          <w:iCs/>
        </w:rPr>
        <w:t xml:space="preserve">Fairness and </w:t>
      </w:r>
      <w:r>
        <w:rPr>
          <w:i/>
          <w:iCs/>
        </w:rPr>
        <w:t>F</w:t>
      </w:r>
      <w:r w:rsidRPr="009451CA">
        <w:rPr>
          <w:i/>
          <w:iCs/>
        </w:rPr>
        <w:t>air Use in Generative AI</w:t>
      </w:r>
      <w:r w:rsidRPr="0057024A">
        <w:t xml:space="preserve">, 92 Fordham L. Rev. 1887, </w:t>
      </w:r>
      <w:r>
        <w:t>1920</w:t>
      </w:r>
      <w:r w:rsidRPr="0057024A">
        <w:t xml:space="preserve"> (2024).</w:t>
      </w:r>
      <w:r>
        <w:t xml:space="preserve"> Sag also observes that a defendant’s attempts at fairness may also help its argument for fair use: in “</w:t>
      </w:r>
      <w:r w:rsidRPr="00CA78DE">
        <w:rPr>
          <w:i/>
        </w:rPr>
        <w:t>Google Books</w:t>
      </w:r>
      <w:r>
        <w:t xml:space="preserve">, the defendant’s fair use defense was bolstered by its robust security measures.” </w:t>
      </w:r>
      <w:r w:rsidRPr="00CA78DE">
        <w:rPr>
          <w:i/>
        </w:rPr>
        <w:t>Id</w:t>
      </w:r>
      <w:r>
        <w:t xml:space="preserve">. </w:t>
      </w:r>
    </w:p>
  </w:footnote>
  <w:footnote w:id="170">
    <w:p w14:paraId="298DBF9F" w14:textId="553CF18D" w:rsidR="00101059" w:rsidRPr="0057024A" w:rsidRDefault="00101059" w:rsidP="0012237F">
      <w:pPr>
        <w:pStyle w:val="FootnoteText"/>
      </w:pPr>
      <w:r w:rsidRPr="0057024A">
        <w:rPr>
          <w:rStyle w:val="FootnoteReference"/>
        </w:rPr>
        <w:footnoteRef/>
      </w:r>
      <w:r w:rsidRPr="0057024A">
        <w:t xml:space="preserve"> </w:t>
      </w:r>
      <w:r w:rsidRPr="00870275">
        <w:rPr>
          <w:i/>
          <w:iCs/>
        </w:rPr>
        <w:t>See</w:t>
      </w:r>
      <w:r w:rsidRPr="0057024A">
        <w:t xml:space="preserve"> </w:t>
      </w:r>
      <w:r w:rsidRPr="009451CA">
        <w:rPr>
          <w:i/>
          <w:iCs/>
        </w:rPr>
        <w:t>Copyright Office: Part 2</w:t>
      </w:r>
      <w:r>
        <w:t xml:space="preserve">, </w:t>
      </w:r>
      <w:r w:rsidRPr="009451CA">
        <w:t>supra</w:t>
      </w:r>
      <w:r>
        <w:t xml:space="preserve"> note 1, at</w:t>
      </w:r>
      <w:r w:rsidRPr="0057024A">
        <w:t xml:space="preserve"> </w:t>
      </w:r>
      <w:r>
        <w:t>13</w:t>
      </w:r>
      <w:r w:rsidRPr="0057024A">
        <w:t>–</w:t>
      </w:r>
      <w:r>
        <w:t>16</w:t>
      </w:r>
      <w:r w:rsidRPr="0057024A">
        <w:t xml:space="preserve"> (discussing </w:t>
      </w:r>
      <w:r>
        <w:t>the acquisition and curation of training data</w:t>
      </w:r>
      <w:r w:rsidRPr="0057024A">
        <w:t xml:space="preserve">); </w:t>
      </w:r>
      <w:r w:rsidRPr="00870275">
        <w:rPr>
          <w:i/>
          <w:iCs/>
        </w:rPr>
        <w:t>see</w:t>
      </w:r>
      <w:r w:rsidRPr="0057024A">
        <w:t xml:space="preserve"> </w:t>
      </w:r>
      <w:r w:rsidRPr="00870275">
        <w:rPr>
          <w:i/>
          <w:iCs/>
        </w:rPr>
        <w:t>also</w:t>
      </w:r>
      <w:r w:rsidRPr="0057024A">
        <w:t xml:space="preserve"> Nat’l Inst. of Standards &amp; Tech., AI Risk Management Framework 1.0</w:t>
      </w:r>
      <w:r>
        <w:t>, at 16</w:t>
      </w:r>
      <w:r w:rsidRPr="0057024A">
        <w:t xml:space="preserve"> (2023) (</w:t>
      </w:r>
      <w:r>
        <w:t>“</w:t>
      </w:r>
      <w:r w:rsidRPr="0012237F">
        <w:t>Maintaining the provenance of training data and supporting attribution of the AI system</w:t>
      </w:r>
      <w:r>
        <w:t>’</w:t>
      </w:r>
      <w:r w:rsidRPr="0012237F">
        <w:t>s</w:t>
      </w:r>
      <w:r>
        <w:t xml:space="preserve"> </w:t>
      </w:r>
      <w:r w:rsidRPr="0012237F">
        <w:t>decisions to subsets of training data can assist with both transparency and accountability.</w:t>
      </w:r>
      <w:r>
        <w:t xml:space="preserve"> </w:t>
      </w:r>
      <w:r w:rsidRPr="0012237F">
        <w:t>Training data may also be subject to copyright and should follow applicable intellectual</w:t>
      </w:r>
      <w:r>
        <w:t xml:space="preserve"> </w:t>
      </w:r>
      <w:r w:rsidRPr="0012237F">
        <w:t>property rights laws</w:t>
      </w:r>
      <w:r>
        <w:t>”</w:t>
      </w:r>
      <w:r w:rsidRPr="0057024A">
        <w:t>).</w:t>
      </w:r>
    </w:p>
  </w:footnote>
  <w:footnote w:id="171">
    <w:p w14:paraId="3DFCEFA2" w14:textId="69E7DE9F" w:rsidR="00101059" w:rsidRPr="0057024A" w:rsidRDefault="00101059" w:rsidP="00256E53">
      <w:pPr>
        <w:pStyle w:val="FootnoteText"/>
      </w:pPr>
      <w:r w:rsidRPr="0057024A">
        <w:rPr>
          <w:rStyle w:val="FootnoteReference"/>
        </w:rPr>
        <w:footnoteRef/>
      </w:r>
      <w:r w:rsidRPr="0057024A">
        <w:t xml:space="preserve"> 17 U.S.C. §§ 1201(a)(1)(A), 1202(a)–(b); </w:t>
      </w:r>
      <w:r>
        <w:rPr>
          <w:i/>
          <w:iCs/>
        </w:rPr>
        <w:t xml:space="preserve">Id. </w:t>
      </w:r>
      <w:r w:rsidRPr="0057024A">
        <w:t>§ 1202(c) (defining “copyright management information”).</w:t>
      </w:r>
    </w:p>
  </w:footnote>
  <w:footnote w:id="172">
    <w:p w14:paraId="2193E62A" w14:textId="46DE8A35" w:rsidR="00101059" w:rsidRPr="0057024A" w:rsidRDefault="00101059" w:rsidP="00256E53">
      <w:pPr>
        <w:pStyle w:val="FootnoteText"/>
      </w:pPr>
      <w:r w:rsidRPr="0057024A">
        <w:rPr>
          <w:rStyle w:val="FootnoteReference"/>
        </w:rPr>
        <w:footnoteRef/>
      </w:r>
      <w:r w:rsidRPr="0057024A">
        <w:t xml:space="preserve"> § 1201 - Circumvention of copyright protection systems.</w:t>
      </w:r>
    </w:p>
    <w:p w14:paraId="41F1A4F0" w14:textId="77777777" w:rsidR="00101059" w:rsidRPr="0057024A" w:rsidRDefault="00101059" w:rsidP="002D5866">
      <w:pPr>
        <w:pStyle w:val="FootnoteText"/>
        <w:ind w:left="720"/>
      </w:pPr>
      <w:r w:rsidRPr="0057024A">
        <w:t>(a) Violations Regarding Circumvention of Technological Measures.</w:t>
      </w:r>
    </w:p>
    <w:p w14:paraId="34254FC5" w14:textId="1FEC49F9" w:rsidR="00101059" w:rsidRPr="0057024A" w:rsidRDefault="00101059" w:rsidP="002D5866">
      <w:pPr>
        <w:pStyle w:val="FootnoteText"/>
        <w:ind w:left="1440"/>
      </w:pPr>
      <w:r w:rsidRPr="0057024A">
        <w:t>(1)(A) No person shall circumvent a technological measure that effectively controls access to a work protected under this title. 17 U.S.C. § 1201.</w:t>
      </w:r>
    </w:p>
  </w:footnote>
  <w:footnote w:id="173">
    <w:p w14:paraId="4D84B239" w14:textId="590BE3B3" w:rsidR="00101059" w:rsidRPr="0057024A" w:rsidRDefault="00101059" w:rsidP="00256E53">
      <w:pPr>
        <w:pStyle w:val="FootnoteText"/>
      </w:pPr>
      <w:r w:rsidRPr="0057024A">
        <w:rPr>
          <w:rStyle w:val="FootnoteReference"/>
        </w:rPr>
        <w:footnoteRef/>
      </w:r>
      <w:r w:rsidRPr="0057024A">
        <w:t xml:space="preserve"> § 1202 - Integrity of copyright management information.</w:t>
      </w:r>
    </w:p>
    <w:p w14:paraId="76B6101E" w14:textId="77777777" w:rsidR="00101059" w:rsidRPr="0057024A" w:rsidRDefault="00101059" w:rsidP="002D5866">
      <w:pPr>
        <w:pStyle w:val="FootnoteText"/>
        <w:ind w:left="720"/>
      </w:pPr>
      <w:r w:rsidRPr="0057024A">
        <w:t>(a) False Copyright Management Information. No person shall knowingly and with the intent to induce, enable, facilitate, or conceal infringement—</w:t>
      </w:r>
    </w:p>
    <w:p w14:paraId="41953FD1" w14:textId="77777777" w:rsidR="00101059" w:rsidRPr="0057024A" w:rsidRDefault="00101059" w:rsidP="002D5866">
      <w:pPr>
        <w:pStyle w:val="FootnoteText"/>
        <w:ind w:left="1440"/>
      </w:pPr>
      <w:r w:rsidRPr="0057024A">
        <w:t>(1) provide copyright management information that is false, or</w:t>
      </w:r>
    </w:p>
    <w:p w14:paraId="15BE0494" w14:textId="77777777" w:rsidR="00101059" w:rsidRPr="0057024A" w:rsidRDefault="00101059" w:rsidP="002D5866">
      <w:pPr>
        <w:pStyle w:val="FootnoteText"/>
        <w:ind w:left="1440"/>
      </w:pPr>
      <w:r w:rsidRPr="0057024A">
        <w:t>(2) distribute or import for distribution copyright management information that is false.</w:t>
      </w:r>
    </w:p>
    <w:p w14:paraId="35C25877" w14:textId="77777777" w:rsidR="00101059" w:rsidRPr="0057024A" w:rsidRDefault="00101059" w:rsidP="002D5866">
      <w:pPr>
        <w:pStyle w:val="FootnoteText"/>
        <w:ind w:left="720"/>
      </w:pPr>
      <w:r w:rsidRPr="0057024A">
        <w:t>(b) Removal or Alteration of Copyright Management Information. No person shall, without the authority of the copyright owner or the law—</w:t>
      </w:r>
    </w:p>
    <w:p w14:paraId="7BC897A2" w14:textId="77777777" w:rsidR="00101059" w:rsidRPr="0057024A" w:rsidRDefault="00101059" w:rsidP="002D5866">
      <w:pPr>
        <w:pStyle w:val="FootnoteText"/>
        <w:ind w:left="1440"/>
      </w:pPr>
      <w:bookmarkStart w:id="46" w:name="_Hlk220175812"/>
      <w:r w:rsidRPr="0057024A">
        <w:t>(1) intentionally remove or alter any copyright management information,</w:t>
      </w:r>
    </w:p>
    <w:p w14:paraId="596E09DA" w14:textId="77777777" w:rsidR="00101059" w:rsidRPr="0057024A" w:rsidRDefault="00101059" w:rsidP="002D5866">
      <w:pPr>
        <w:pStyle w:val="FootnoteText"/>
        <w:ind w:left="1440"/>
      </w:pPr>
      <w:r w:rsidRPr="0057024A">
        <w:t>(2) distribute or import for distribution copyright management information knowing that the copyright management information has been removed or altered without authority of the copyright owner or the law, or</w:t>
      </w:r>
    </w:p>
    <w:p w14:paraId="6D7CCE87" w14:textId="77777777" w:rsidR="00101059" w:rsidRPr="0057024A" w:rsidRDefault="00101059" w:rsidP="002D5866">
      <w:pPr>
        <w:pStyle w:val="FootnoteText"/>
        <w:ind w:left="1440"/>
      </w:pPr>
      <w:r w:rsidRPr="0057024A">
        <w:t>(3) distribute, import for distribution, or publicly perform works, copies of works, or phonorecords, knowing that copyright management information has been removed or altered without authority of the copyright owner or the law,</w:t>
      </w:r>
    </w:p>
    <w:p w14:paraId="0BBE6CD2" w14:textId="643728AA" w:rsidR="00101059" w:rsidRPr="0057024A" w:rsidRDefault="00101059" w:rsidP="002D5866">
      <w:pPr>
        <w:pStyle w:val="FootnoteText"/>
        <w:ind w:left="720"/>
      </w:pPr>
      <w:r w:rsidRPr="0057024A">
        <w:t>knowing, or, with respect to civil remedies under section 1203, having reasonable grounds to know, that it will induce, enable, facilitate, or conceal an infringement of any right under this title.</w:t>
      </w:r>
      <w:bookmarkEnd w:id="46"/>
      <w:r w:rsidRPr="0057024A">
        <w:t xml:space="preserve"> </w:t>
      </w:r>
      <w:r w:rsidRPr="0057024A">
        <w:rPr>
          <w:bCs/>
        </w:rPr>
        <w:t>17 U.S.C.</w:t>
      </w:r>
      <w:r w:rsidRPr="0057024A">
        <w:t xml:space="preserve"> § 1202(b); </w:t>
      </w:r>
      <w:r>
        <w:rPr>
          <w:i/>
          <w:iCs/>
        </w:rPr>
        <w:t xml:space="preserve">Id. </w:t>
      </w:r>
      <w:r w:rsidRPr="0057024A">
        <w:t>§ 1202(c) (defining “copyright management information”).</w:t>
      </w:r>
    </w:p>
  </w:footnote>
  <w:footnote w:id="174">
    <w:p w14:paraId="42D75E2E" w14:textId="57507F3D" w:rsidR="00101059" w:rsidRDefault="00101059">
      <w:pPr>
        <w:pStyle w:val="FootnoteText"/>
      </w:pPr>
      <w:r>
        <w:rPr>
          <w:rStyle w:val="FootnoteReference"/>
        </w:rPr>
        <w:footnoteRef/>
      </w:r>
      <w:r>
        <w:t xml:space="preserve"> </w:t>
      </w:r>
      <w:r w:rsidRPr="00314091">
        <w:rPr>
          <w:i/>
        </w:rPr>
        <w:t>See</w:t>
      </w:r>
      <w:r>
        <w:t xml:space="preserve"> </w:t>
      </w:r>
      <w:r w:rsidRPr="00F86020">
        <w:rPr>
          <w:i/>
        </w:rPr>
        <w:t>Copyright Office: Part 3</w:t>
      </w:r>
      <w:r>
        <w:t xml:space="preserve">, </w:t>
      </w:r>
      <w:r w:rsidRPr="00F86020">
        <w:rPr>
          <w:i/>
        </w:rPr>
        <w:t>supra</w:t>
      </w:r>
      <w:r>
        <w:t xml:space="preserve"> note 1, at 85-106 (discussing licensing). Another area of the law that already has been pleaded in some of these cases has to do with violation of service terms agreements and other contractual issues. While these are not unimportant, they go too far beyond the scope of this paper to be addressed herein. </w:t>
      </w:r>
    </w:p>
  </w:footnote>
  <w:footnote w:id="175">
    <w:p w14:paraId="077C8FF5" w14:textId="2069AC11" w:rsidR="00101059" w:rsidRPr="0057024A" w:rsidRDefault="00101059" w:rsidP="00256E53">
      <w:pPr>
        <w:pStyle w:val="FootnoteText"/>
      </w:pPr>
      <w:r w:rsidRPr="0057024A">
        <w:rPr>
          <w:rStyle w:val="FootnoteReference"/>
        </w:rPr>
        <w:footnoteRef/>
      </w:r>
      <w:r w:rsidRPr="0057024A">
        <w:t xml:space="preserve"> For a</w:t>
      </w:r>
      <w:r>
        <w:t xml:space="preserve"> very detailed</w:t>
      </w:r>
      <w:r w:rsidRPr="0057024A">
        <w:t xml:space="preserve"> overview of all aspects of AI copyright legislation, both generative-AI and non-generative, </w:t>
      </w:r>
      <w:r w:rsidRPr="00870275">
        <w:rPr>
          <w:i/>
          <w:iCs/>
        </w:rPr>
        <w:t>see</w:t>
      </w:r>
      <w:r w:rsidRPr="0057024A">
        <w:t xml:space="preserve"> Lisa Argyle, et al., </w:t>
      </w:r>
      <w:r w:rsidRPr="002D5866">
        <w:rPr>
          <w:i/>
          <w:iCs/>
        </w:rPr>
        <w:t>AI Copyright Litigation v. Licensing: An Exploration</w:t>
      </w:r>
      <w:r w:rsidRPr="0057024A">
        <w:t xml:space="preserve">, 72 </w:t>
      </w:r>
      <w:r w:rsidRPr="0057024A">
        <w:rPr>
          <w:smallCaps/>
        </w:rPr>
        <w:t>J. Copyright Soc’y</w:t>
      </w:r>
      <w:r w:rsidRPr="0057024A">
        <w:t xml:space="preserve"> 410 (2025).</w:t>
      </w:r>
    </w:p>
  </w:footnote>
  <w:footnote w:id="176">
    <w:p w14:paraId="41390A0F" w14:textId="63BC1A92" w:rsidR="00101059" w:rsidRPr="0057024A" w:rsidRDefault="00101059" w:rsidP="00256E53">
      <w:pPr>
        <w:pStyle w:val="FootnoteText"/>
      </w:pPr>
      <w:r w:rsidRPr="0057024A">
        <w:rPr>
          <w:rStyle w:val="FootnoteReference"/>
        </w:rPr>
        <w:footnoteRef/>
      </w:r>
      <w:r w:rsidRPr="0057024A">
        <w:t xml:space="preserve"> </w:t>
      </w:r>
      <w:r w:rsidRPr="00376114">
        <w:rPr>
          <w:i/>
        </w:rPr>
        <w:t>HathiTrust</w:t>
      </w:r>
      <w:r w:rsidRPr="0057024A">
        <w:t>, 755 F.3d 87 (2024).</w:t>
      </w:r>
    </w:p>
  </w:footnote>
  <w:footnote w:id="177">
    <w:p w14:paraId="3F0E7784" w14:textId="3C06B959"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97-101.</w:t>
      </w:r>
    </w:p>
  </w:footnote>
  <w:footnote w:id="178">
    <w:p w14:paraId="2C4FC4A6" w14:textId="3C19AE06" w:rsidR="00101059" w:rsidRPr="0057024A" w:rsidRDefault="00101059" w:rsidP="00256E53">
      <w:pPr>
        <w:pStyle w:val="FootnoteText"/>
      </w:pPr>
      <w:r w:rsidRPr="0057024A">
        <w:rPr>
          <w:rStyle w:val="FootnoteReference"/>
        </w:rPr>
        <w:footnoteRef/>
      </w:r>
      <w:r w:rsidRPr="0057024A">
        <w:t xml:space="preserve"> Campbell v. Acuff-Rose Music, Inc., 510 U.S. 569, 579 (1994).</w:t>
      </w:r>
    </w:p>
  </w:footnote>
  <w:footnote w:id="179">
    <w:p w14:paraId="436B850C" w14:textId="1C7559F3" w:rsidR="00101059" w:rsidRPr="0057024A" w:rsidRDefault="00101059" w:rsidP="00256E53">
      <w:pPr>
        <w:pStyle w:val="FootnoteText"/>
      </w:pPr>
      <w:r w:rsidRPr="0057024A">
        <w:rPr>
          <w:rStyle w:val="FootnoteReference"/>
        </w:rPr>
        <w:footnoteRef/>
      </w:r>
      <w:r w:rsidRPr="0057024A">
        <w:t xml:space="preserve"> </w:t>
      </w:r>
      <w:r w:rsidRPr="00376114">
        <w:rPr>
          <w:i/>
        </w:rPr>
        <w:t>HathiTrust</w:t>
      </w:r>
      <w:r w:rsidRPr="0057024A">
        <w:t>, 755 F.3d at 96.</w:t>
      </w:r>
    </w:p>
  </w:footnote>
  <w:footnote w:id="180">
    <w:p w14:paraId="636F3950" w14:textId="69014DB7"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99.</w:t>
      </w:r>
    </w:p>
  </w:footnote>
  <w:footnote w:id="181">
    <w:p w14:paraId="4A6B21C5" w14:textId="317C0BEE" w:rsidR="00101059" w:rsidRPr="0057024A" w:rsidRDefault="00101059" w:rsidP="00256E53">
      <w:pPr>
        <w:pStyle w:val="FootnoteText"/>
      </w:pPr>
      <w:r w:rsidRPr="0057024A">
        <w:rPr>
          <w:rStyle w:val="FootnoteReference"/>
        </w:rPr>
        <w:footnoteRef/>
      </w:r>
      <w:r w:rsidRPr="0057024A">
        <w:t xml:space="preserve"> Authors Guild v. Google, Inc, 804 F.3d 202 (2015).</w:t>
      </w:r>
    </w:p>
  </w:footnote>
  <w:footnote w:id="182">
    <w:p w14:paraId="73987339" w14:textId="720F6322"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208.</w:t>
      </w:r>
    </w:p>
  </w:footnote>
  <w:footnote w:id="183">
    <w:p w14:paraId="3EFE5EC6" w14:textId="535B00A4" w:rsidR="00101059" w:rsidRPr="0057024A"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229.</w:t>
      </w:r>
    </w:p>
  </w:footnote>
  <w:footnote w:id="184">
    <w:p w14:paraId="7ED23E79" w14:textId="653485FE" w:rsidR="00101059" w:rsidRPr="0057024A" w:rsidRDefault="00101059" w:rsidP="00256E53">
      <w:pPr>
        <w:pStyle w:val="FootnoteText"/>
      </w:pPr>
      <w:r w:rsidRPr="0057024A">
        <w:rPr>
          <w:rStyle w:val="FootnoteReference"/>
        </w:rPr>
        <w:footnoteRef/>
      </w:r>
      <w:r w:rsidRPr="0057024A">
        <w:t xml:space="preserve"> </w:t>
      </w:r>
      <w:r w:rsidRPr="0057024A">
        <w:rPr>
          <w:i/>
          <w:iCs/>
        </w:rPr>
        <w:t xml:space="preserve">Id. </w:t>
      </w:r>
      <w:r w:rsidRPr="0057024A">
        <w:t>at 216.</w:t>
      </w:r>
    </w:p>
  </w:footnote>
  <w:footnote w:id="185">
    <w:p w14:paraId="69B33054" w14:textId="624CF842" w:rsidR="00101059" w:rsidRPr="0057024A" w:rsidRDefault="00101059" w:rsidP="00256E53">
      <w:pPr>
        <w:pStyle w:val="FootnoteText"/>
      </w:pPr>
      <w:r w:rsidRPr="0057024A">
        <w:rPr>
          <w:rStyle w:val="FootnoteReference"/>
        </w:rPr>
        <w:footnoteRef/>
      </w:r>
      <w:r w:rsidRPr="0057024A">
        <w:t xml:space="preserve"> Google LLC v. Oracle America, Inc., 593 U.S. 1 (2021).</w:t>
      </w:r>
    </w:p>
  </w:footnote>
  <w:footnote w:id="186">
    <w:p w14:paraId="70167248" w14:textId="13F12A89" w:rsidR="00101059" w:rsidRDefault="00101059" w:rsidP="00256E53">
      <w:pPr>
        <w:pStyle w:val="FootnoteText"/>
      </w:pPr>
      <w:r w:rsidRPr="0057024A">
        <w:rPr>
          <w:rStyle w:val="FootnoteReference"/>
        </w:rPr>
        <w:footnoteRef/>
      </w:r>
      <w:r w:rsidRPr="0057024A">
        <w:t xml:space="preserve"> </w:t>
      </w:r>
      <w:r w:rsidRPr="0057024A">
        <w:rPr>
          <w:i/>
          <w:iCs/>
        </w:rPr>
        <w:t>Id.</w:t>
      </w:r>
      <w:r w:rsidRPr="0057024A">
        <w:t xml:space="preserve"> at 11.</w:t>
      </w:r>
    </w:p>
  </w:footnote>
  <w:footnote w:id="187">
    <w:p w14:paraId="73BC0F09" w14:textId="1D189681" w:rsidR="00101059" w:rsidRDefault="00101059" w:rsidP="00256E53">
      <w:pPr>
        <w:pStyle w:val="FootnoteText"/>
      </w:pPr>
      <w:r>
        <w:rPr>
          <w:rStyle w:val="FootnoteReference"/>
        </w:rPr>
        <w:footnoteRef/>
      </w:r>
      <w:r>
        <w:t xml:space="preserve"> </w:t>
      </w:r>
      <w:r w:rsidRPr="00014EC6">
        <w:rPr>
          <w:i/>
          <w:iCs/>
        </w:rPr>
        <w:t>Id</w:t>
      </w:r>
      <w:r w:rsidRPr="0057024A">
        <w:t xml:space="preserve">. </w:t>
      </w:r>
    </w:p>
  </w:footnote>
  <w:footnote w:id="188">
    <w:p w14:paraId="6F40DF7C" w14:textId="68F045FA" w:rsidR="00101059" w:rsidRDefault="00101059" w:rsidP="00256E53">
      <w:pPr>
        <w:pStyle w:val="FootnoteText"/>
      </w:pPr>
      <w:r>
        <w:rPr>
          <w:rStyle w:val="FootnoteReference"/>
        </w:rPr>
        <w:footnoteRef/>
      </w:r>
      <w:r>
        <w:t xml:space="preserve"> </w:t>
      </w:r>
      <w:r>
        <w:rPr>
          <w:i/>
          <w:iCs/>
        </w:rPr>
        <w:t xml:space="preserve">Id. </w:t>
      </w:r>
    </w:p>
  </w:footnote>
  <w:footnote w:id="189">
    <w:p w14:paraId="28AAA2A6" w14:textId="25F97395" w:rsidR="00101059" w:rsidRDefault="00101059" w:rsidP="00256E53">
      <w:pPr>
        <w:pStyle w:val="FootnoteText"/>
      </w:pPr>
      <w:r>
        <w:rPr>
          <w:rStyle w:val="FootnoteReference"/>
        </w:rPr>
        <w:footnoteRef/>
      </w:r>
      <w:r>
        <w:t xml:space="preserve"> </w:t>
      </w:r>
      <w:r w:rsidRPr="00014EC6">
        <w:rPr>
          <w:i/>
          <w:iCs/>
        </w:rPr>
        <w:t>Id</w:t>
      </w:r>
      <w:r w:rsidRPr="0057024A">
        <w:t>.</w:t>
      </w:r>
      <w:r w:rsidRPr="003E3F42">
        <w:rPr>
          <w:iCs/>
        </w:rPr>
        <w:t xml:space="preserve"> at 12</w:t>
      </w:r>
      <w:r>
        <w:t>.</w:t>
      </w:r>
    </w:p>
  </w:footnote>
  <w:footnote w:id="190">
    <w:p w14:paraId="2E3B6CEE" w14:textId="0439773C" w:rsidR="00101059" w:rsidRPr="00D01A24" w:rsidRDefault="00101059" w:rsidP="00256E53">
      <w:pPr>
        <w:pStyle w:val="FootnoteText"/>
      </w:pPr>
      <w:r>
        <w:rPr>
          <w:rStyle w:val="FootnoteReference"/>
        </w:rPr>
        <w:footnoteRef/>
      </w:r>
      <w:r>
        <w:t xml:space="preserve"> </w:t>
      </w:r>
      <w:r w:rsidRPr="00014EC6">
        <w:rPr>
          <w:i/>
          <w:iCs/>
        </w:rPr>
        <w:t>Id</w:t>
      </w:r>
      <w:r w:rsidRPr="0057024A">
        <w:t>.</w:t>
      </w:r>
      <w:r>
        <w:t xml:space="preserve"> </w:t>
      </w:r>
      <w:r w:rsidRPr="003E3F42">
        <w:rPr>
          <w:iCs/>
        </w:rPr>
        <w:t>at 13.</w:t>
      </w:r>
      <w:r>
        <w:rPr>
          <w:iCs/>
        </w:rPr>
        <w:t xml:space="preserve"> For an excellent discussion of fair use and computer interfaces, see Mark A. Lemley and Pamela Samuelson, </w:t>
      </w:r>
      <w:r>
        <w:rPr>
          <w:i/>
          <w:iCs/>
        </w:rPr>
        <w:t xml:space="preserve">supra </w:t>
      </w:r>
      <w:r w:rsidRPr="00D01A24">
        <w:rPr>
          <w:iCs/>
        </w:rPr>
        <w:t>note 158.</w:t>
      </w:r>
    </w:p>
  </w:footnote>
  <w:footnote w:id="191">
    <w:p w14:paraId="4B017E9C" w14:textId="5481D8F2" w:rsidR="00101059" w:rsidRPr="003E3F42" w:rsidRDefault="00101059" w:rsidP="00256E53">
      <w:pPr>
        <w:pStyle w:val="FootnoteText"/>
      </w:pPr>
      <w:r>
        <w:rPr>
          <w:rStyle w:val="FootnoteReference"/>
        </w:rPr>
        <w:footnoteRef/>
      </w:r>
      <w:r>
        <w:t xml:space="preserve"> </w:t>
      </w:r>
      <w:r w:rsidRPr="003E3F42">
        <w:t>Thomson Reuter Enter: Centre G</w:t>
      </w:r>
      <w:r>
        <w:t>MBH</w:t>
      </w:r>
      <w:r w:rsidRPr="003E3F42">
        <w:t xml:space="preserve"> v. Ross Intell., Inc., 765 F.Supp.3d 382 (D. Del. 2025), </w:t>
      </w:r>
      <w:r w:rsidRPr="00CB54DA">
        <w:rPr>
          <w:i/>
        </w:rPr>
        <w:t>appeal docketed</w:t>
      </w:r>
      <w:r w:rsidRPr="003E3F42">
        <w:t>, No. 25-8018 (</w:t>
      </w:r>
      <w:r>
        <w:t xml:space="preserve">3rd </w:t>
      </w:r>
      <w:r w:rsidRPr="003E3F42">
        <w:t>Cir. April 14, 2025).</w:t>
      </w:r>
    </w:p>
  </w:footnote>
  <w:footnote w:id="192">
    <w:p w14:paraId="248BE0DB" w14:textId="15EA52D7" w:rsidR="00101059" w:rsidRDefault="00101059">
      <w:pPr>
        <w:pStyle w:val="FootnoteText"/>
      </w:pPr>
      <w:r>
        <w:rPr>
          <w:rStyle w:val="FootnoteReference"/>
        </w:rPr>
        <w:footnoteRef/>
      </w:r>
      <w:r>
        <w:t xml:space="preserve"> </w:t>
      </w:r>
      <w:r w:rsidRPr="00617F0B">
        <w:rPr>
          <w:i/>
        </w:rPr>
        <w:t>Id</w:t>
      </w:r>
      <w:r>
        <w:t>. at 390.</w:t>
      </w:r>
    </w:p>
  </w:footnote>
  <w:footnote w:id="193">
    <w:p w14:paraId="26C6EF04" w14:textId="392772DB" w:rsidR="00101059" w:rsidRDefault="00101059">
      <w:pPr>
        <w:pStyle w:val="FootnoteText"/>
      </w:pPr>
      <w:r>
        <w:rPr>
          <w:rStyle w:val="FootnoteReference"/>
        </w:rPr>
        <w:footnoteRef/>
      </w:r>
      <w:r>
        <w:t xml:space="preserve"> </w:t>
      </w:r>
      <w:r w:rsidRPr="00617F0B">
        <w:rPr>
          <w:i/>
        </w:rPr>
        <w:t>Id</w:t>
      </w:r>
      <w:r>
        <w:t>. at 390, 399.</w:t>
      </w:r>
    </w:p>
  </w:footnote>
  <w:footnote w:id="194">
    <w:p w14:paraId="67D9AAD9" w14:textId="54C86A9E" w:rsidR="00101059" w:rsidRDefault="00101059">
      <w:pPr>
        <w:pStyle w:val="FootnoteText"/>
      </w:pPr>
      <w:r>
        <w:rPr>
          <w:rStyle w:val="FootnoteReference"/>
        </w:rPr>
        <w:footnoteRef/>
      </w:r>
      <w:r>
        <w:t xml:space="preserve"> </w:t>
      </w:r>
      <w:r w:rsidRPr="00617F0B">
        <w:rPr>
          <w:i/>
        </w:rPr>
        <w:t>Id</w:t>
      </w:r>
      <w:r>
        <w:t>. at 395-96.</w:t>
      </w:r>
    </w:p>
  </w:footnote>
  <w:footnote w:id="195">
    <w:p w14:paraId="0C79CE45" w14:textId="782CC8EA" w:rsidR="00101059" w:rsidRDefault="00101059">
      <w:pPr>
        <w:pStyle w:val="FootnoteText"/>
      </w:pPr>
      <w:r>
        <w:rPr>
          <w:rStyle w:val="FootnoteReference"/>
        </w:rPr>
        <w:footnoteRef/>
      </w:r>
      <w:r>
        <w:t xml:space="preserve"> </w:t>
      </w:r>
      <w:r w:rsidRPr="00617F0B">
        <w:rPr>
          <w:i/>
        </w:rPr>
        <w:t>Id</w:t>
      </w:r>
      <w:r>
        <w:t>. at 397-401.</w:t>
      </w:r>
    </w:p>
  </w:footnote>
  <w:footnote w:id="196">
    <w:p w14:paraId="40E7DE1B" w14:textId="4C7295AB" w:rsidR="00101059" w:rsidRDefault="00101059">
      <w:pPr>
        <w:pStyle w:val="FootnoteText"/>
      </w:pPr>
      <w:r>
        <w:rPr>
          <w:rStyle w:val="FootnoteReference"/>
        </w:rPr>
        <w:footnoteRef/>
      </w:r>
      <w:r>
        <w:t xml:space="preserve"> </w:t>
      </w:r>
      <w:r w:rsidRPr="00617F0B">
        <w:rPr>
          <w:i/>
        </w:rPr>
        <w:t>Id</w:t>
      </w:r>
      <w:r>
        <w:t>. at 397-99.</w:t>
      </w:r>
    </w:p>
  </w:footnote>
  <w:footnote w:id="197">
    <w:p w14:paraId="7542363F" w14:textId="74BEDB14" w:rsidR="00101059" w:rsidRDefault="00101059">
      <w:pPr>
        <w:pStyle w:val="FootnoteText"/>
      </w:pPr>
      <w:r>
        <w:rPr>
          <w:rStyle w:val="FootnoteReference"/>
        </w:rPr>
        <w:footnoteRef/>
      </w:r>
      <w:r>
        <w:t xml:space="preserve"> </w:t>
      </w:r>
      <w:r w:rsidRPr="00617F0B">
        <w:rPr>
          <w:i/>
        </w:rPr>
        <w:t>Id</w:t>
      </w:r>
      <w:r>
        <w:t>. at 399.</w:t>
      </w:r>
    </w:p>
  </w:footnote>
  <w:footnote w:id="198">
    <w:p w14:paraId="41567F6A" w14:textId="15056C79" w:rsidR="00101059" w:rsidRPr="003E3F42" w:rsidRDefault="00101059" w:rsidP="00256E53">
      <w:pPr>
        <w:pStyle w:val="FootnoteText"/>
      </w:pPr>
      <w:r>
        <w:rPr>
          <w:rStyle w:val="FootnoteReference"/>
        </w:rPr>
        <w:footnoteRef/>
      </w:r>
      <w:r>
        <w:t xml:space="preserve"> </w:t>
      </w:r>
      <w:r w:rsidRPr="003E3F42">
        <w:t xml:space="preserve">“My prior opinion wrongly concluded that I had to send [factor one] to a jury. . . . I based that conclusion on Sony and Sega. Since then, I have realized that the intermediate-copying cases (1) are computer-programming copying cases; and (2) depend in part on the need to copy to reach the underlying ideas. Neither is true here. Because of that, this case fits more neatly into the newer framework advanced by </w:t>
      </w:r>
      <w:r w:rsidRPr="00CB54DA">
        <w:rPr>
          <w:i/>
        </w:rPr>
        <w:t>Warhol</w:t>
      </w:r>
      <w:r w:rsidRPr="003E3F42">
        <w:t xml:space="preserve">.” </w:t>
      </w:r>
      <w:r>
        <w:rPr>
          <w:i/>
        </w:rPr>
        <w:t>Id.</w:t>
      </w:r>
    </w:p>
  </w:footnote>
  <w:footnote w:id="199">
    <w:p w14:paraId="51080CBE" w14:textId="09258CA3" w:rsidR="00101059" w:rsidRPr="003E3F42" w:rsidRDefault="00101059" w:rsidP="00256E53">
      <w:pPr>
        <w:pStyle w:val="FootnoteText"/>
        <w:rPr>
          <w:iCs/>
        </w:rPr>
      </w:pPr>
      <w:r w:rsidRPr="003E3F42">
        <w:rPr>
          <w:rStyle w:val="FootnoteReference"/>
          <w:i/>
          <w:iCs/>
        </w:rPr>
        <w:footnoteRef/>
      </w:r>
      <w:r w:rsidRPr="003E3F42">
        <w:rPr>
          <w:iCs/>
        </w:rPr>
        <w:t xml:space="preserve"> </w:t>
      </w:r>
      <w:r w:rsidRPr="00014EC6">
        <w:rPr>
          <w:i/>
          <w:iCs/>
        </w:rPr>
        <w:t>Id</w:t>
      </w:r>
      <w:r w:rsidRPr="0057024A">
        <w:t xml:space="preserve">. </w:t>
      </w:r>
    </w:p>
  </w:footnote>
  <w:footnote w:id="200">
    <w:p w14:paraId="2B36BAC0" w14:textId="47FD86A4" w:rsidR="00101059" w:rsidRPr="003E3F42" w:rsidRDefault="00101059" w:rsidP="00256E53">
      <w:pPr>
        <w:pStyle w:val="FootnoteText"/>
      </w:pPr>
      <w:r w:rsidRPr="003E3F42">
        <w:rPr>
          <w:rStyle w:val="FootnoteReference"/>
          <w:i/>
          <w:iCs/>
        </w:rPr>
        <w:footnoteRef/>
      </w:r>
      <w:r w:rsidRPr="003E3F42">
        <w:t xml:space="preserve"> Doe 1 v. Github, Inc., 672 F.Supp.3d 837 (2023). </w:t>
      </w:r>
    </w:p>
  </w:footnote>
  <w:footnote w:id="201">
    <w:p w14:paraId="18B8F172" w14:textId="1F0E63F5" w:rsidR="00101059" w:rsidRPr="003E3F42" w:rsidRDefault="00101059" w:rsidP="00256E53">
      <w:pPr>
        <w:pStyle w:val="FootnoteText"/>
      </w:pPr>
      <w:r w:rsidRPr="003E3F42">
        <w:rPr>
          <w:rStyle w:val="FootnoteReference"/>
          <w:i/>
          <w:iCs/>
        </w:rPr>
        <w:footnoteRef/>
      </w:r>
      <w:r w:rsidRPr="003E3F42">
        <w:t xml:space="preserve"> 17 U.S.C. § 1201(b) (emphasis added).</w:t>
      </w:r>
    </w:p>
  </w:footnote>
  <w:footnote w:id="202">
    <w:p w14:paraId="275ED78C" w14:textId="474869D8" w:rsidR="00101059" w:rsidRPr="003E3F42" w:rsidRDefault="00101059" w:rsidP="00256E53">
      <w:pPr>
        <w:pStyle w:val="FootnoteText"/>
      </w:pPr>
      <w:r w:rsidRPr="003E3F42">
        <w:rPr>
          <w:rStyle w:val="FootnoteReference"/>
          <w:i/>
          <w:iCs/>
        </w:rPr>
        <w:footnoteRef/>
      </w:r>
      <w:r w:rsidRPr="003E3F42">
        <w:t xml:space="preserve"> Doe 1 v. Github, Inc., 672 at 858-59.</w:t>
      </w:r>
    </w:p>
  </w:footnote>
  <w:footnote w:id="203">
    <w:p w14:paraId="780CB0A6" w14:textId="378B1A91"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859.</w:t>
      </w:r>
    </w:p>
  </w:footnote>
  <w:footnote w:id="204">
    <w:p w14:paraId="46322C4B" w14:textId="2F7551D6" w:rsidR="00101059" w:rsidRPr="003E3F42" w:rsidRDefault="00101059" w:rsidP="00256E53">
      <w:pPr>
        <w:pStyle w:val="FootnoteText"/>
      </w:pPr>
      <w:r w:rsidRPr="003E3F42">
        <w:rPr>
          <w:rStyle w:val="FootnoteReference"/>
          <w:i/>
          <w:iCs/>
        </w:rPr>
        <w:footnoteRef/>
      </w:r>
      <w:r w:rsidRPr="003E3F42">
        <w:t xml:space="preserve"> Andersen v. Stability AI Ltd., 700 F.Supp.3d 853 (2023). After the suit, Stability’s founding CEO stated that he should have used fully licensed training images and that future versions of Stable Diffusion would be based on fully licensed packages. </w:t>
      </w:r>
      <w:r w:rsidRPr="00014EC6">
        <w:rPr>
          <w:i/>
          <w:iCs/>
        </w:rPr>
        <w:t>Id</w:t>
      </w:r>
      <w:r w:rsidRPr="0057024A">
        <w:t xml:space="preserve">. </w:t>
      </w:r>
      <w:r w:rsidRPr="003E3F42">
        <w:t>at 860.</w:t>
      </w:r>
    </w:p>
  </w:footnote>
  <w:footnote w:id="205">
    <w:p w14:paraId="46038CFC" w14:textId="4BAD57A9"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863-64.</w:t>
      </w:r>
    </w:p>
  </w:footnote>
  <w:footnote w:id="206">
    <w:p w14:paraId="5D20620E" w14:textId="71C262C6"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864-69.</w:t>
      </w:r>
    </w:p>
  </w:footnote>
  <w:footnote w:id="207">
    <w:p w14:paraId="2ABB662F" w14:textId="3FEE254A"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870-72.</w:t>
      </w:r>
    </w:p>
  </w:footnote>
  <w:footnote w:id="208">
    <w:p w14:paraId="7A85E13A" w14:textId="1F819F7A"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872.</w:t>
      </w:r>
    </w:p>
  </w:footnote>
  <w:footnote w:id="209">
    <w:p w14:paraId="22A0FC10" w14:textId="1EE00965"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872-75.</w:t>
      </w:r>
    </w:p>
  </w:footnote>
  <w:footnote w:id="210">
    <w:p w14:paraId="26F6F9E7" w14:textId="75544631" w:rsidR="00101059" w:rsidRPr="003E3F42" w:rsidRDefault="00101059" w:rsidP="00256E53">
      <w:pPr>
        <w:pStyle w:val="FootnoteText"/>
      </w:pPr>
      <w:r w:rsidRPr="003E3F42">
        <w:rPr>
          <w:rStyle w:val="FootnoteReference"/>
          <w:i/>
          <w:iCs/>
        </w:rPr>
        <w:footnoteRef/>
      </w:r>
      <w:r w:rsidRPr="003E3F42">
        <w:t xml:space="preserve"> </w:t>
      </w:r>
      <w:r>
        <w:rPr>
          <w:i/>
          <w:iCs/>
        </w:rPr>
        <w:t xml:space="preserve">Id. </w:t>
      </w:r>
      <w:r w:rsidRPr="003E3F42">
        <w:t>at 875.</w:t>
      </w:r>
    </w:p>
  </w:footnote>
  <w:footnote w:id="211">
    <w:p w14:paraId="59761EDB" w14:textId="5743F24F" w:rsidR="00101059" w:rsidRDefault="00101059" w:rsidP="00256E53">
      <w:pPr>
        <w:pStyle w:val="FootnoteText"/>
      </w:pPr>
      <w:r w:rsidRPr="003E3F42">
        <w:rPr>
          <w:rStyle w:val="FootnoteReference"/>
          <w:i/>
          <w:iCs/>
        </w:rPr>
        <w:footnoteRef/>
      </w:r>
      <w:r w:rsidRPr="003E3F42">
        <w:t xml:space="preserve"> Order Granting in Part and De</w:t>
      </w:r>
      <w:r>
        <w:t>n.</w:t>
      </w:r>
      <w:r w:rsidRPr="003E3F42">
        <w:t xml:space="preserve"> in Part Mots</w:t>
      </w:r>
      <w:r>
        <w:t>.</w:t>
      </w:r>
      <w:r w:rsidRPr="003E3F42">
        <w:t xml:space="preserve"> to Dismiss First Am</w:t>
      </w:r>
      <w:r>
        <w:t>.</w:t>
      </w:r>
      <w:r w:rsidRPr="003E3F42">
        <w:t xml:space="preserve"> Compl</w:t>
      </w:r>
      <w:r>
        <w:t>.</w:t>
      </w:r>
      <w:r w:rsidRPr="003E3F42">
        <w:t>, Andersen v. Stability, AI, Ltd., No.23-cv-00201-WHO (N. D. Cal. Aug. 8, 2024).</w:t>
      </w:r>
    </w:p>
  </w:footnote>
  <w:footnote w:id="212">
    <w:p w14:paraId="136BD53B" w14:textId="36D2B8FF" w:rsidR="00101059" w:rsidRPr="003E3F42" w:rsidRDefault="00101059" w:rsidP="00256E53">
      <w:pPr>
        <w:pStyle w:val="FootnoteText"/>
        <w:rPr>
          <w:iCs/>
        </w:rPr>
      </w:pPr>
      <w:r w:rsidRPr="003E3F42">
        <w:rPr>
          <w:rStyle w:val="FootnoteReference"/>
          <w:i/>
          <w:iCs/>
        </w:rPr>
        <w:footnoteRef/>
      </w:r>
      <w:r w:rsidRPr="003E3F42">
        <w:rPr>
          <w:iCs/>
        </w:rPr>
        <w:t xml:space="preserve"> </w:t>
      </w:r>
      <w:r w:rsidRPr="00014EC6">
        <w:rPr>
          <w:i/>
          <w:iCs/>
        </w:rPr>
        <w:t>Id</w:t>
      </w:r>
      <w:r w:rsidRPr="0057024A">
        <w:t xml:space="preserve">. </w:t>
      </w:r>
    </w:p>
  </w:footnote>
  <w:footnote w:id="213">
    <w:p w14:paraId="46064B11" w14:textId="77777777" w:rsidR="00101059" w:rsidRPr="003E3F42" w:rsidRDefault="00101059" w:rsidP="00256E53">
      <w:pPr>
        <w:pStyle w:val="FootnoteText"/>
      </w:pPr>
      <w:r w:rsidRPr="003E3F42">
        <w:rPr>
          <w:rStyle w:val="FootnoteReference"/>
          <w:i/>
          <w:iCs/>
        </w:rPr>
        <w:footnoteRef/>
      </w:r>
      <w:r w:rsidRPr="003E3F42">
        <w:t xml:space="preserve"> Complaint, Getty Images (US), Inc. v. Stability AI, Inc., No. 1:23-cv-00135-MN (D. Del. filed Feb. 3, 2023) (alleging unauthorized use of photographs to train AI models).</w:t>
      </w:r>
    </w:p>
  </w:footnote>
  <w:footnote w:id="214">
    <w:p w14:paraId="536AA7F0" w14:textId="2A141B8A" w:rsidR="00101059" w:rsidRPr="003E3F42" w:rsidRDefault="00101059" w:rsidP="00256E53">
      <w:pPr>
        <w:pStyle w:val="FootnoteText"/>
      </w:pPr>
      <w:r w:rsidRPr="003E3F42">
        <w:rPr>
          <w:rStyle w:val="FootnoteReference"/>
          <w:i/>
          <w:iCs/>
        </w:rPr>
        <w:footnoteRef/>
      </w:r>
      <w:r w:rsidRPr="003E3F42">
        <w:t xml:space="preserve"> Defs</w:t>
      </w:r>
      <w:r>
        <w:t>.</w:t>
      </w:r>
      <w:r w:rsidRPr="003E3F42">
        <w:t xml:space="preserve"> Stability AI Ltd, and Stability AI US Servs</w:t>
      </w:r>
      <w:r>
        <w:t>.</w:t>
      </w:r>
      <w:r w:rsidRPr="003E3F42">
        <w:t xml:space="preserve"> Corp</w:t>
      </w:r>
      <w:r>
        <w:t>.</w:t>
      </w:r>
      <w:r w:rsidRPr="003E3F42">
        <w:t>’s Notice of Mot</w:t>
      </w:r>
      <w:r>
        <w:t>.</w:t>
      </w:r>
      <w:r w:rsidRPr="003E3F42">
        <w:t xml:space="preserve"> and Mot</w:t>
      </w:r>
      <w:r>
        <w:t>.</w:t>
      </w:r>
      <w:r w:rsidRPr="003E3F42">
        <w:t xml:space="preserve"> to Dismiss Pl</w:t>
      </w:r>
      <w:r>
        <w:t>.</w:t>
      </w:r>
      <w:r w:rsidRPr="003E3F42">
        <w:t>’s Compl</w:t>
      </w:r>
      <w:r>
        <w:t>.</w:t>
      </w:r>
      <w:r w:rsidRPr="003E3F42">
        <w:t>, No. 3:25-cv-06891-TLT at *1 (Oct. 14, 2025).</w:t>
      </w:r>
    </w:p>
  </w:footnote>
  <w:footnote w:id="215">
    <w:p w14:paraId="068BFF32" w14:textId="64B3A2A1" w:rsidR="00101059" w:rsidRPr="003E3F42" w:rsidRDefault="00101059" w:rsidP="00256E53">
      <w:pPr>
        <w:pStyle w:val="FootnoteText"/>
      </w:pPr>
      <w:r w:rsidRPr="003E3F42">
        <w:rPr>
          <w:rStyle w:val="FootnoteReference"/>
          <w:i/>
          <w:iCs/>
        </w:rPr>
        <w:footnoteRef/>
      </w:r>
      <w:r w:rsidRPr="003E3F42">
        <w:t xml:space="preserve"> </w:t>
      </w:r>
      <w:r w:rsidRPr="00C21F49">
        <w:rPr>
          <w:i/>
          <w:iCs/>
        </w:rPr>
        <w:t>Id</w:t>
      </w:r>
      <w:r w:rsidRPr="0057024A">
        <w:t xml:space="preserve">. </w:t>
      </w:r>
      <w:r w:rsidRPr="003E3F42">
        <w:t>at *4-*21.</w:t>
      </w:r>
    </w:p>
  </w:footnote>
  <w:footnote w:id="216">
    <w:p w14:paraId="4F07F094" w14:textId="7C3D57F9" w:rsidR="00101059" w:rsidRPr="0036088A" w:rsidRDefault="00101059" w:rsidP="00256E53">
      <w:pPr>
        <w:pStyle w:val="FootnoteText"/>
      </w:pPr>
      <w:r w:rsidRPr="003E3F42">
        <w:rPr>
          <w:rStyle w:val="FootnoteReference"/>
          <w:i/>
          <w:iCs/>
        </w:rPr>
        <w:footnoteRef/>
      </w:r>
      <w:r w:rsidRPr="003E3F42">
        <w:t xml:space="preserve"> Getty Images (US) Inc &amp; Ors v. Stability AI Limited [2025] EWHC 2863 (Ch).</w:t>
      </w:r>
    </w:p>
  </w:footnote>
  <w:footnote w:id="217">
    <w:p w14:paraId="30324FD1" w14:textId="15AEF1DA" w:rsidR="00101059" w:rsidRPr="0025536A" w:rsidRDefault="00101059" w:rsidP="00256E53">
      <w:pPr>
        <w:pStyle w:val="FootnoteText"/>
      </w:pPr>
      <w:r>
        <w:rPr>
          <w:rStyle w:val="FootnoteReference"/>
        </w:rPr>
        <w:footnoteRef/>
      </w:r>
      <w:r>
        <w:t xml:space="preserve"> </w:t>
      </w:r>
      <w:r w:rsidRPr="00C21F49">
        <w:rPr>
          <w:i/>
          <w:iCs/>
        </w:rPr>
        <w:t>Id</w:t>
      </w:r>
      <w:r w:rsidRPr="0057024A">
        <w:t>.</w:t>
      </w:r>
      <w:r>
        <w:t>;</w:t>
      </w:r>
      <w:r w:rsidRPr="0057024A">
        <w:t xml:space="preserve"> </w:t>
      </w:r>
      <w:r>
        <w:rPr>
          <w:i/>
          <w:iCs/>
        </w:rPr>
        <w:t>s</w:t>
      </w:r>
      <w:r w:rsidRPr="00C21F49">
        <w:rPr>
          <w:i/>
          <w:iCs/>
        </w:rPr>
        <w:t>ee</w:t>
      </w:r>
      <w:r>
        <w:t xml:space="preserve"> </w:t>
      </w:r>
      <w:r w:rsidRPr="0025536A">
        <w:t>Nick Smee and Ailsa Carter</w:t>
      </w:r>
      <w:r>
        <w:t xml:space="preserve">, </w:t>
      </w:r>
      <w:r w:rsidRPr="00C21F49">
        <w:rPr>
          <w:i/>
          <w:iCs/>
        </w:rPr>
        <w:t xml:space="preserve">Getty Images’ </w:t>
      </w:r>
      <w:r>
        <w:rPr>
          <w:i/>
          <w:iCs/>
        </w:rPr>
        <w:t>C</w:t>
      </w:r>
      <w:r w:rsidRPr="00C21F49">
        <w:rPr>
          <w:i/>
          <w:iCs/>
        </w:rPr>
        <w:t xml:space="preserve">opyright not </w:t>
      </w:r>
      <w:r>
        <w:rPr>
          <w:i/>
          <w:iCs/>
        </w:rPr>
        <w:t>I</w:t>
      </w:r>
      <w:r w:rsidRPr="00C21F49">
        <w:rPr>
          <w:i/>
          <w:iCs/>
        </w:rPr>
        <w:t xml:space="preserve">nfringed by Stability AI </w:t>
      </w:r>
      <w:r>
        <w:rPr>
          <w:i/>
          <w:iCs/>
        </w:rPr>
        <w:t>M</w:t>
      </w:r>
      <w:r w:rsidRPr="00C21F49">
        <w:rPr>
          <w:i/>
          <w:iCs/>
        </w:rPr>
        <w:t xml:space="preserve">aking its Stable Diffusion </w:t>
      </w:r>
      <w:r>
        <w:rPr>
          <w:i/>
          <w:iCs/>
        </w:rPr>
        <w:t>M</w:t>
      </w:r>
      <w:r w:rsidRPr="00C21F49">
        <w:rPr>
          <w:i/>
          <w:iCs/>
        </w:rPr>
        <w:t xml:space="preserve">odel </w:t>
      </w:r>
      <w:r>
        <w:rPr>
          <w:i/>
          <w:iCs/>
        </w:rPr>
        <w:t>A</w:t>
      </w:r>
      <w:r w:rsidRPr="00C21F49">
        <w:rPr>
          <w:i/>
          <w:iCs/>
        </w:rPr>
        <w:t xml:space="preserve">vailable to </w:t>
      </w:r>
      <w:r>
        <w:rPr>
          <w:i/>
          <w:iCs/>
        </w:rPr>
        <w:t>U</w:t>
      </w:r>
      <w:r w:rsidRPr="00C21F49">
        <w:rPr>
          <w:i/>
          <w:iCs/>
        </w:rPr>
        <w:t>sers in the UK</w:t>
      </w:r>
      <w:r>
        <w:t xml:space="preserve">, Nov. 12, 2025, </w:t>
      </w:r>
      <w:hyperlink r:id="rId12" w:history="1">
        <w:r w:rsidRPr="00B5255E">
          <w:rPr>
            <w:rStyle w:val="Hyperlink"/>
          </w:rPr>
          <w:t>https://www.brownejacobson.com/insights/getty-images-stability-ai-judgment-uk-copyright-law-analysis</w:t>
        </w:r>
      </w:hyperlink>
      <w:r>
        <w:t xml:space="preserve"> .</w:t>
      </w:r>
    </w:p>
  </w:footnote>
  <w:footnote w:id="218">
    <w:p w14:paraId="6C1D6293" w14:textId="66F20A8C" w:rsidR="00101059" w:rsidRDefault="00101059" w:rsidP="00256E53">
      <w:pPr>
        <w:pStyle w:val="FootnoteText"/>
      </w:pPr>
      <w:r>
        <w:rPr>
          <w:rStyle w:val="FootnoteReference"/>
        </w:rPr>
        <w:footnoteRef/>
      </w:r>
      <w:r>
        <w:t xml:space="preserve"> </w:t>
      </w:r>
      <w:r w:rsidRPr="003E3F42">
        <w:t>Bartz v. Anthropic PBC, 787 F.Supp.3d 1007 (2025</w:t>
      </w:r>
      <w:r>
        <w:t>).</w:t>
      </w:r>
    </w:p>
  </w:footnote>
  <w:footnote w:id="219">
    <w:p w14:paraId="28B9B818" w14:textId="03A830BD" w:rsidR="00101059" w:rsidRDefault="00101059" w:rsidP="00256E53">
      <w:pPr>
        <w:pStyle w:val="FootnoteText"/>
      </w:pPr>
      <w:r>
        <w:rPr>
          <w:rStyle w:val="FootnoteReference"/>
        </w:rPr>
        <w:footnoteRef/>
      </w:r>
      <w:r>
        <w:t xml:space="preserve"> </w:t>
      </w:r>
      <w:r>
        <w:rPr>
          <w:i/>
          <w:iCs/>
        </w:rPr>
        <w:t xml:space="preserve">Id. </w:t>
      </w:r>
      <w:r w:rsidRPr="00B21FB3">
        <w:t>at 1019.</w:t>
      </w:r>
    </w:p>
  </w:footnote>
  <w:footnote w:id="220">
    <w:p w14:paraId="65307A85" w14:textId="1328838A" w:rsidR="00101059" w:rsidRDefault="00101059" w:rsidP="00256E53">
      <w:pPr>
        <w:pStyle w:val="FootnoteText"/>
      </w:pPr>
      <w:r>
        <w:rPr>
          <w:rStyle w:val="FootnoteReference"/>
        </w:rPr>
        <w:footnoteRef/>
      </w:r>
      <w:r>
        <w:t xml:space="preserve"> </w:t>
      </w:r>
      <w:r w:rsidRPr="00C21F49">
        <w:rPr>
          <w:i/>
          <w:iCs/>
        </w:rPr>
        <w:t>Id</w:t>
      </w:r>
      <w:r w:rsidRPr="0057024A">
        <w:t xml:space="preserve">. </w:t>
      </w:r>
    </w:p>
  </w:footnote>
  <w:footnote w:id="221">
    <w:p w14:paraId="61CDFF97" w14:textId="6897A2B0" w:rsidR="00101059" w:rsidRDefault="00101059" w:rsidP="00256E53">
      <w:pPr>
        <w:pStyle w:val="FootnoteText"/>
      </w:pPr>
      <w:r>
        <w:rPr>
          <w:rStyle w:val="FootnoteReference"/>
        </w:rPr>
        <w:footnoteRef/>
      </w:r>
      <w:r>
        <w:t xml:space="preserve"> </w:t>
      </w:r>
      <w:r>
        <w:rPr>
          <w:i/>
          <w:iCs/>
        </w:rPr>
        <w:t xml:space="preserve">Id. </w:t>
      </w:r>
      <w:r w:rsidRPr="00B21FB3">
        <w:t>at 1033.</w:t>
      </w:r>
    </w:p>
  </w:footnote>
  <w:footnote w:id="222">
    <w:p w14:paraId="13976ADE" w14:textId="2838893F" w:rsidR="00101059" w:rsidRDefault="00101059" w:rsidP="00256E53">
      <w:pPr>
        <w:pStyle w:val="FootnoteText"/>
      </w:pPr>
      <w:r>
        <w:rPr>
          <w:rStyle w:val="FootnoteReference"/>
        </w:rPr>
        <w:footnoteRef/>
      </w:r>
      <w:r>
        <w:t xml:space="preserve"> </w:t>
      </w:r>
      <w:r w:rsidRPr="00C21F49">
        <w:rPr>
          <w:i/>
          <w:iCs/>
        </w:rPr>
        <w:t>Id</w:t>
      </w:r>
      <w:r w:rsidRPr="0057024A">
        <w:t xml:space="preserve">. </w:t>
      </w:r>
    </w:p>
  </w:footnote>
  <w:footnote w:id="223">
    <w:p w14:paraId="1078E42E" w14:textId="4972C7FE" w:rsidR="00101059" w:rsidRDefault="00101059" w:rsidP="00256E53">
      <w:pPr>
        <w:pStyle w:val="FootnoteText"/>
      </w:pPr>
      <w:r>
        <w:rPr>
          <w:rStyle w:val="FootnoteReference"/>
        </w:rPr>
        <w:footnoteRef/>
      </w:r>
      <w:r>
        <w:t xml:space="preserve"> </w:t>
      </w:r>
      <w:r w:rsidRPr="00C21F49">
        <w:rPr>
          <w:i/>
          <w:iCs/>
        </w:rPr>
        <w:t>Id</w:t>
      </w:r>
      <w:r w:rsidRPr="0057024A">
        <w:t xml:space="preserve">. </w:t>
      </w:r>
    </w:p>
  </w:footnote>
  <w:footnote w:id="224">
    <w:p w14:paraId="50512305" w14:textId="3F70B273" w:rsidR="00101059" w:rsidRDefault="00101059" w:rsidP="00256E53">
      <w:pPr>
        <w:pStyle w:val="FootnoteText"/>
      </w:pPr>
      <w:r>
        <w:rPr>
          <w:rStyle w:val="FootnoteReference"/>
        </w:rPr>
        <w:footnoteRef/>
      </w:r>
      <w:r>
        <w:t xml:space="preserve"> </w:t>
      </w:r>
      <w:r>
        <w:rPr>
          <w:i/>
          <w:iCs/>
        </w:rPr>
        <w:t xml:space="preserve">Id. </w:t>
      </w:r>
      <w:r w:rsidRPr="00B21FB3">
        <w:rPr>
          <w:iCs/>
        </w:rPr>
        <w:t>at 1034</w:t>
      </w:r>
      <w:r>
        <w:t>.</w:t>
      </w:r>
    </w:p>
  </w:footnote>
  <w:footnote w:id="225">
    <w:p w14:paraId="77774BE5" w14:textId="0D2DF6EC" w:rsidR="00101059" w:rsidRDefault="00101059" w:rsidP="00256E53">
      <w:pPr>
        <w:pStyle w:val="FootnoteText"/>
      </w:pPr>
      <w:r>
        <w:rPr>
          <w:rStyle w:val="FootnoteReference"/>
        </w:rPr>
        <w:footnoteRef/>
      </w:r>
      <w:r>
        <w:t xml:space="preserve"> </w:t>
      </w:r>
      <w:r w:rsidRPr="005E0E3D">
        <w:t>Mem</w:t>
      </w:r>
      <w:r>
        <w:t>.</w:t>
      </w:r>
      <w:r w:rsidRPr="005E0E3D">
        <w:t xml:space="preserve"> Op</w:t>
      </w:r>
      <w:r>
        <w:t>.</w:t>
      </w:r>
      <w:r w:rsidRPr="005E0E3D">
        <w:t xml:space="preserve"> on Prelim</w:t>
      </w:r>
      <w:r>
        <w:t>.</w:t>
      </w:r>
      <w:r w:rsidRPr="005E0E3D">
        <w:t xml:space="preserve"> Approval of Class Action Settlement</w:t>
      </w:r>
      <w:r>
        <w:t xml:space="preserve">, No. C 24-0541 WHA </w:t>
      </w:r>
      <w:r w:rsidRPr="00B21FB3">
        <w:t>(Oct. 17, 2025).</w:t>
      </w:r>
    </w:p>
  </w:footnote>
  <w:footnote w:id="226">
    <w:p w14:paraId="7903B02C" w14:textId="58637F8C" w:rsidR="00101059" w:rsidRDefault="00101059" w:rsidP="00256E53">
      <w:pPr>
        <w:pStyle w:val="FootnoteText"/>
      </w:pPr>
      <w:r>
        <w:rPr>
          <w:rStyle w:val="FootnoteReference"/>
        </w:rPr>
        <w:footnoteRef/>
      </w:r>
      <w:r>
        <w:t xml:space="preserve"> Kadrey v. Meta Platforms, Inc., 788 F.Supp.3d 1026 (2025)</w:t>
      </w:r>
    </w:p>
  </w:footnote>
  <w:footnote w:id="227">
    <w:p w14:paraId="0A62E72C" w14:textId="5A72E3D6" w:rsidR="00101059" w:rsidRDefault="00101059" w:rsidP="00256E53">
      <w:pPr>
        <w:pStyle w:val="FootnoteText"/>
      </w:pPr>
      <w:r>
        <w:rPr>
          <w:rStyle w:val="FootnoteReference"/>
        </w:rPr>
        <w:footnoteRef/>
      </w:r>
      <w:r>
        <w:t xml:space="preserve"> </w:t>
      </w:r>
      <w:r w:rsidRPr="00F828AD">
        <w:rPr>
          <w:i/>
          <w:iCs/>
        </w:rPr>
        <w:t>Id</w:t>
      </w:r>
      <w:r w:rsidRPr="00F828AD">
        <w:t xml:space="preserve">. </w:t>
      </w:r>
      <w:r w:rsidRPr="00F828AD">
        <w:rPr>
          <w:iCs/>
        </w:rPr>
        <w:t>at</w:t>
      </w:r>
      <w:r>
        <w:t xml:space="preserve"> 1036-37.</w:t>
      </w:r>
    </w:p>
  </w:footnote>
  <w:footnote w:id="228">
    <w:p w14:paraId="56C9430D" w14:textId="049B716C" w:rsidR="00101059" w:rsidRDefault="00101059" w:rsidP="00256E53">
      <w:pPr>
        <w:pStyle w:val="FootnoteText"/>
      </w:pPr>
      <w:r>
        <w:rPr>
          <w:rStyle w:val="FootnoteReference"/>
        </w:rPr>
        <w:footnoteRef/>
      </w:r>
      <w:r>
        <w:t xml:space="preserve"> </w:t>
      </w:r>
      <w:r w:rsidRPr="00F828AD">
        <w:rPr>
          <w:i/>
          <w:iCs/>
        </w:rPr>
        <w:t>Id</w:t>
      </w:r>
      <w:r w:rsidRPr="00F828AD">
        <w:t xml:space="preserve">. </w:t>
      </w:r>
      <w:r w:rsidRPr="00F828AD">
        <w:rPr>
          <w:iCs/>
        </w:rPr>
        <w:t>at</w:t>
      </w:r>
      <w:r>
        <w:t xml:space="preserve"> 1042.</w:t>
      </w:r>
    </w:p>
  </w:footnote>
  <w:footnote w:id="229">
    <w:p w14:paraId="300ADE6D" w14:textId="29BA63F8" w:rsidR="00101059" w:rsidRDefault="00101059" w:rsidP="00256E53">
      <w:pPr>
        <w:pStyle w:val="FootnoteText"/>
      </w:pPr>
      <w:r>
        <w:rPr>
          <w:rStyle w:val="FootnoteReference"/>
        </w:rPr>
        <w:footnoteRef/>
      </w:r>
      <w:r>
        <w:t xml:space="preserve"> </w:t>
      </w:r>
      <w:r w:rsidRPr="00F828AD">
        <w:rPr>
          <w:i/>
          <w:iCs/>
        </w:rPr>
        <w:t>Id</w:t>
      </w:r>
      <w:r w:rsidRPr="00F828AD">
        <w:t xml:space="preserve">. </w:t>
      </w:r>
    </w:p>
  </w:footnote>
  <w:footnote w:id="230">
    <w:p w14:paraId="19682AEF" w14:textId="5A5AE631" w:rsidR="00101059" w:rsidRDefault="00101059" w:rsidP="00256E53">
      <w:pPr>
        <w:pStyle w:val="FootnoteText"/>
      </w:pPr>
      <w:r>
        <w:rPr>
          <w:rStyle w:val="FootnoteReference"/>
        </w:rPr>
        <w:footnoteRef/>
      </w:r>
      <w:r>
        <w:t xml:space="preserve"> </w:t>
      </w:r>
      <w:r w:rsidRPr="00F828AD">
        <w:rPr>
          <w:i/>
          <w:iCs/>
        </w:rPr>
        <w:t>Id</w:t>
      </w:r>
      <w:r w:rsidRPr="00F828AD">
        <w:t xml:space="preserve">. </w:t>
      </w:r>
      <w:r w:rsidRPr="00F828AD">
        <w:rPr>
          <w:iCs/>
        </w:rPr>
        <w:t>at</w:t>
      </w:r>
      <w:r>
        <w:t xml:space="preserve"> 1047.</w:t>
      </w:r>
    </w:p>
  </w:footnote>
  <w:footnote w:id="231">
    <w:p w14:paraId="4513AD6E" w14:textId="6C3DDB36" w:rsidR="00101059" w:rsidRDefault="00101059" w:rsidP="00256E53">
      <w:pPr>
        <w:pStyle w:val="FootnoteText"/>
      </w:pPr>
      <w:r>
        <w:rPr>
          <w:rStyle w:val="FootnoteReference"/>
        </w:rPr>
        <w:footnoteRef/>
      </w:r>
      <w:r>
        <w:t xml:space="preserve"> </w:t>
      </w:r>
      <w:r w:rsidRPr="00F828AD">
        <w:rPr>
          <w:i/>
          <w:iCs/>
        </w:rPr>
        <w:t>Id</w:t>
      </w:r>
      <w:r w:rsidRPr="00F828AD">
        <w:t xml:space="preserve">. </w:t>
      </w:r>
      <w:r w:rsidRPr="00F828AD">
        <w:rPr>
          <w:iCs/>
        </w:rPr>
        <w:t>at</w:t>
      </w:r>
      <w:r>
        <w:t xml:space="preserve"> 1049-50.</w:t>
      </w:r>
    </w:p>
  </w:footnote>
  <w:footnote w:id="232">
    <w:p w14:paraId="4667292E" w14:textId="1C0F98A9" w:rsidR="00101059" w:rsidRDefault="00101059" w:rsidP="00256E53">
      <w:pPr>
        <w:pStyle w:val="FootnoteText"/>
      </w:pPr>
      <w:r>
        <w:rPr>
          <w:rStyle w:val="FootnoteReference"/>
        </w:rPr>
        <w:footnoteRef/>
      </w:r>
      <w:r>
        <w:t xml:space="preserve"> </w:t>
      </w:r>
      <w:r w:rsidRPr="00F828AD">
        <w:rPr>
          <w:i/>
          <w:iCs/>
        </w:rPr>
        <w:t>Id</w:t>
      </w:r>
      <w:r w:rsidRPr="00F828AD">
        <w:t xml:space="preserve">. </w:t>
      </w:r>
      <w:r w:rsidRPr="00F828AD">
        <w:rPr>
          <w:iCs/>
        </w:rPr>
        <w:t>at</w:t>
      </w:r>
      <w:r>
        <w:t xml:space="preserve"> 1052.</w:t>
      </w:r>
    </w:p>
  </w:footnote>
  <w:footnote w:id="233">
    <w:p w14:paraId="2D9C27AD" w14:textId="30FE6BB5" w:rsidR="00101059" w:rsidRDefault="00101059" w:rsidP="00256E53">
      <w:pPr>
        <w:pStyle w:val="FootnoteText"/>
      </w:pPr>
      <w:r>
        <w:rPr>
          <w:rStyle w:val="FootnoteReference"/>
        </w:rPr>
        <w:footnoteRef/>
      </w:r>
      <w:r>
        <w:t xml:space="preserve"> </w:t>
      </w:r>
      <w:r w:rsidRPr="00F828AD">
        <w:rPr>
          <w:i/>
          <w:iCs/>
        </w:rPr>
        <w:t>Id</w:t>
      </w:r>
      <w:r w:rsidRPr="00F828AD">
        <w:t>.</w:t>
      </w:r>
    </w:p>
  </w:footnote>
  <w:footnote w:id="234">
    <w:p w14:paraId="7B6A5215" w14:textId="6390A748" w:rsidR="00101059" w:rsidRDefault="00101059" w:rsidP="00256E53">
      <w:pPr>
        <w:pStyle w:val="FootnoteText"/>
      </w:pPr>
      <w:r>
        <w:rPr>
          <w:rStyle w:val="FootnoteReference"/>
        </w:rPr>
        <w:footnoteRef/>
      </w:r>
      <w:r>
        <w:t xml:space="preserve"> </w:t>
      </w:r>
      <w:r w:rsidRPr="00F828AD">
        <w:rPr>
          <w:i/>
          <w:iCs/>
        </w:rPr>
        <w:t>Id</w:t>
      </w:r>
      <w:r w:rsidRPr="00F828AD">
        <w:t xml:space="preserve">. </w:t>
      </w:r>
      <w:r w:rsidRPr="00F828AD">
        <w:rPr>
          <w:iCs/>
        </w:rPr>
        <w:t>at</w:t>
      </w:r>
      <w:r>
        <w:t xml:space="preserve"> 1060.</w:t>
      </w:r>
    </w:p>
  </w:footnote>
  <w:footnote w:id="235">
    <w:p w14:paraId="071C3AC4" w14:textId="194A08B8" w:rsidR="00101059" w:rsidRDefault="00101059" w:rsidP="00256E53">
      <w:pPr>
        <w:pStyle w:val="FootnoteText"/>
      </w:pPr>
      <w:r>
        <w:rPr>
          <w:rStyle w:val="FootnoteReference"/>
        </w:rPr>
        <w:footnoteRef/>
      </w:r>
      <w:r>
        <w:t xml:space="preserve"> </w:t>
      </w:r>
      <w:r w:rsidRPr="00F828AD">
        <w:rPr>
          <w:i/>
          <w:iCs/>
        </w:rPr>
        <w:t>Id</w:t>
      </w:r>
      <w:r w:rsidRPr="00F828AD">
        <w:t>.</w:t>
      </w:r>
    </w:p>
  </w:footnote>
  <w:footnote w:id="236">
    <w:p w14:paraId="4F91AE36" w14:textId="5BE30EDC" w:rsidR="00101059" w:rsidRPr="00F571B4" w:rsidRDefault="00101059" w:rsidP="00256E53">
      <w:pPr>
        <w:pStyle w:val="FootnoteText"/>
      </w:pPr>
      <w:r>
        <w:rPr>
          <w:rStyle w:val="FootnoteReference"/>
        </w:rPr>
        <w:footnoteRef/>
      </w:r>
      <w:r>
        <w:t xml:space="preserve"> Concord Music Group, Inc. v Anthropic PBC, </w:t>
      </w:r>
      <w:r w:rsidRPr="00F571B4">
        <w:rPr>
          <w:iCs/>
        </w:rPr>
        <w:t>772 F.Supp.3d 1131 (N.D. Cal. 2025).</w:t>
      </w:r>
    </w:p>
  </w:footnote>
  <w:footnote w:id="237">
    <w:p w14:paraId="0267FEE2" w14:textId="3F6E5E22" w:rsidR="00101059" w:rsidRDefault="00101059" w:rsidP="00256E53">
      <w:pPr>
        <w:pStyle w:val="FootnoteText"/>
      </w:pPr>
      <w:r>
        <w:rPr>
          <w:rStyle w:val="FootnoteReference"/>
        </w:rPr>
        <w:footnoteRef/>
      </w:r>
      <w:r>
        <w:t xml:space="preserve"> </w:t>
      </w:r>
      <w:r w:rsidRPr="00C21F49">
        <w:rPr>
          <w:i/>
        </w:rPr>
        <w:t>Id</w:t>
      </w:r>
      <w:r w:rsidRPr="0057024A">
        <w:t>.</w:t>
      </w:r>
      <w:r>
        <w:t xml:space="preserve"> </w:t>
      </w:r>
      <w:r w:rsidRPr="005F4C7A">
        <w:t>at 1135.</w:t>
      </w:r>
    </w:p>
  </w:footnote>
  <w:footnote w:id="238">
    <w:p w14:paraId="3D09C30B" w14:textId="3590BD03" w:rsidR="00101059" w:rsidRDefault="00101059">
      <w:pPr>
        <w:pStyle w:val="FootnoteText"/>
      </w:pPr>
      <w:r>
        <w:rPr>
          <w:rStyle w:val="FootnoteReference"/>
        </w:rPr>
        <w:footnoteRef/>
      </w:r>
      <w:r>
        <w:t xml:space="preserve"> </w:t>
      </w:r>
      <w:r w:rsidRPr="00216088">
        <w:rPr>
          <w:i/>
        </w:rPr>
        <w:t>See supra</w:t>
      </w:r>
      <w:r>
        <w:t xml:space="preserve"> Part VI.B.</w:t>
      </w:r>
    </w:p>
  </w:footnote>
  <w:footnote w:id="239">
    <w:p w14:paraId="1B7BFD35" w14:textId="72184F1E" w:rsidR="00101059" w:rsidRDefault="00101059" w:rsidP="00256E53">
      <w:pPr>
        <w:pStyle w:val="FootnoteText"/>
      </w:pPr>
      <w:r>
        <w:rPr>
          <w:rStyle w:val="FootnoteReference"/>
        </w:rPr>
        <w:footnoteRef/>
      </w:r>
      <w:r>
        <w:t xml:space="preserve"> </w:t>
      </w:r>
      <w:r w:rsidRPr="005F4C7A">
        <w:t xml:space="preserve">Prior to this decision, the parties entered into a stipulation regarding the output side of the copyright dispute, under which Anthropic agreed to maintain guardrails for its AI models and products, </w:t>
      </w:r>
      <w:r>
        <w:t xml:space="preserve">Concord Music, 772 F.Supp.3d </w:t>
      </w:r>
      <w:r>
        <w:rPr>
          <w:i/>
        </w:rPr>
        <w:t xml:space="preserve"> </w:t>
      </w:r>
      <w:r w:rsidRPr="005F4C7A">
        <w:t>at 1136</w:t>
      </w:r>
      <w:r>
        <w:t>.</w:t>
      </w:r>
      <w:r w:rsidRPr="005F4C7A">
        <w:t xml:space="preserve"> Thus, significantly, only the input side of the copyright dispute (the training) remains</w:t>
      </w:r>
      <w:r>
        <w:t>.</w:t>
      </w:r>
    </w:p>
  </w:footnote>
  <w:footnote w:id="240">
    <w:p w14:paraId="70B8198E" w14:textId="081E0430" w:rsidR="00101059" w:rsidRDefault="00101059" w:rsidP="00256E53">
      <w:pPr>
        <w:pStyle w:val="FootnoteText"/>
      </w:pPr>
      <w:r>
        <w:rPr>
          <w:rStyle w:val="FootnoteReference"/>
        </w:rPr>
        <w:footnoteRef/>
      </w:r>
      <w:r>
        <w:t xml:space="preserve"> </w:t>
      </w:r>
      <w:r w:rsidRPr="00C21F49">
        <w:rPr>
          <w:i/>
        </w:rPr>
        <w:t>Id</w:t>
      </w:r>
      <w:r w:rsidRPr="0057024A">
        <w:t xml:space="preserve">. </w:t>
      </w:r>
      <w:r w:rsidRPr="005F4C7A">
        <w:t>at 1139-42.</w:t>
      </w:r>
    </w:p>
  </w:footnote>
  <w:footnote w:id="241">
    <w:p w14:paraId="337E1748" w14:textId="02936402" w:rsidR="00101059" w:rsidRDefault="00101059" w:rsidP="00256E53">
      <w:pPr>
        <w:pStyle w:val="FootnoteText"/>
      </w:pPr>
      <w:r>
        <w:rPr>
          <w:rStyle w:val="FootnoteReference"/>
        </w:rPr>
        <w:footnoteRef/>
      </w:r>
      <w:r>
        <w:t xml:space="preserve"> </w:t>
      </w:r>
      <w:r w:rsidRPr="00C21F49">
        <w:rPr>
          <w:i/>
        </w:rPr>
        <w:t>Id</w:t>
      </w:r>
      <w:r w:rsidRPr="0057024A">
        <w:t>.</w:t>
      </w:r>
      <w:r>
        <w:t xml:space="preserve"> </w:t>
      </w:r>
      <w:r w:rsidRPr="005F4C7A">
        <w:t>at 1139-40</w:t>
      </w:r>
    </w:p>
  </w:footnote>
  <w:footnote w:id="242">
    <w:p w14:paraId="75D583D6" w14:textId="6B704789" w:rsidR="00101059" w:rsidRDefault="00101059" w:rsidP="00256E53">
      <w:pPr>
        <w:pStyle w:val="FootnoteText"/>
      </w:pPr>
      <w:r>
        <w:rPr>
          <w:rStyle w:val="FootnoteReference"/>
        </w:rPr>
        <w:footnoteRef/>
      </w:r>
      <w:r>
        <w:t xml:space="preserve"> </w:t>
      </w:r>
      <w:r w:rsidRPr="00C21F49">
        <w:rPr>
          <w:i/>
        </w:rPr>
        <w:t>Id</w:t>
      </w:r>
      <w:r w:rsidRPr="0057024A">
        <w:t>.</w:t>
      </w:r>
      <w:r>
        <w:t xml:space="preserve"> </w:t>
      </w:r>
      <w:r w:rsidRPr="005F4C7A">
        <w:t>at 1140.</w:t>
      </w:r>
    </w:p>
  </w:footnote>
  <w:footnote w:id="243">
    <w:p w14:paraId="6CD2FC26" w14:textId="4D75566C" w:rsidR="00101059" w:rsidRDefault="00101059" w:rsidP="00256E53">
      <w:pPr>
        <w:pStyle w:val="FootnoteText"/>
      </w:pPr>
      <w:r>
        <w:rPr>
          <w:rStyle w:val="FootnoteReference"/>
        </w:rPr>
        <w:footnoteRef/>
      </w:r>
      <w:r>
        <w:t xml:space="preserve"> </w:t>
      </w:r>
      <w:r w:rsidRPr="00C21F49">
        <w:rPr>
          <w:i/>
        </w:rPr>
        <w:t>Id</w:t>
      </w:r>
      <w:r w:rsidRPr="0057024A">
        <w:t xml:space="preserve">. </w:t>
      </w:r>
      <w:r w:rsidRPr="005F4C7A">
        <w:t>at 1142.</w:t>
      </w:r>
    </w:p>
  </w:footnote>
  <w:footnote w:id="244">
    <w:p w14:paraId="63696099" w14:textId="29813D2F" w:rsidR="00101059" w:rsidRPr="001E09D8" w:rsidRDefault="00101059" w:rsidP="00256E53">
      <w:pPr>
        <w:pStyle w:val="FootnoteText"/>
      </w:pPr>
      <w:r>
        <w:rPr>
          <w:rStyle w:val="FootnoteReference"/>
        </w:rPr>
        <w:footnoteRef/>
      </w:r>
      <w:r>
        <w:t xml:space="preserve"> </w:t>
      </w:r>
      <w:r w:rsidRPr="00C21F49">
        <w:rPr>
          <w:i/>
        </w:rPr>
        <w:t>Id</w:t>
      </w:r>
      <w:r w:rsidRPr="0057024A">
        <w:t xml:space="preserve">. </w:t>
      </w:r>
      <w:r>
        <w:t>at 1141.</w:t>
      </w:r>
    </w:p>
  </w:footnote>
  <w:footnote w:id="245">
    <w:p w14:paraId="7D8B8533" w14:textId="5E1506A5" w:rsidR="00101059" w:rsidRDefault="00101059" w:rsidP="00256E53">
      <w:pPr>
        <w:pStyle w:val="FootnoteText"/>
      </w:pPr>
      <w:r>
        <w:rPr>
          <w:rStyle w:val="FootnoteReference"/>
        </w:rPr>
        <w:footnoteRef/>
      </w:r>
      <w:r>
        <w:t xml:space="preserve"> </w:t>
      </w:r>
      <w:r w:rsidRPr="00C21F49">
        <w:rPr>
          <w:i/>
        </w:rPr>
        <w:t>Id</w:t>
      </w:r>
      <w:r w:rsidRPr="0057024A">
        <w:t>.</w:t>
      </w:r>
      <w:r>
        <w:t xml:space="preserve"> </w:t>
      </w:r>
      <w:r w:rsidRPr="005F4C7A">
        <w:t xml:space="preserve">at </w:t>
      </w:r>
      <w:r>
        <w:t>1139.</w:t>
      </w:r>
    </w:p>
  </w:footnote>
  <w:footnote w:id="246">
    <w:p w14:paraId="262CB9B5" w14:textId="16CE87BC" w:rsidR="00101059" w:rsidRPr="00A45798" w:rsidRDefault="00101059" w:rsidP="00256E53">
      <w:pPr>
        <w:pStyle w:val="FootnoteText"/>
      </w:pPr>
      <w:r w:rsidRPr="00A45798">
        <w:rPr>
          <w:rStyle w:val="FootnoteReference"/>
        </w:rPr>
        <w:footnoteRef/>
      </w:r>
      <w:r w:rsidRPr="00A45798">
        <w:t xml:space="preserve"> Tremblay v. OpenAI, Inc., 716 F.Supp.3d 772 (N.D. Cal. 2024).</w:t>
      </w:r>
    </w:p>
  </w:footnote>
  <w:footnote w:id="247">
    <w:p w14:paraId="60813742" w14:textId="5DEF2BED" w:rsidR="00101059" w:rsidRPr="00A45798" w:rsidRDefault="00101059" w:rsidP="00256E53">
      <w:pPr>
        <w:pStyle w:val="FootnoteText"/>
      </w:pPr>
      <w:r w:rsidRPr="00A45798">
        <w:rPr>
          <w:rStyle w:val="FootnoteReference"/>
        </w:rPr>
        <w:footnoteRef/>
      </w:r>
      <w:r w:rsidRPr="00A45798">
        <w:t xml:space="preserve"> Chabon v. OpenAI, Inc., No. 3:23-cv-04625 (N.D. Cal. filed Sept. 8, 2023), ECF No. 1.</w:t>
      </w:r>
    </w:p>
  </w:footnote>
  <w:footnote w:id="248">
    <w:p w14:paraId="4A0C2A52" w14:textId="1542F064" w:rsidR="00101059" w:rsidRPr="00A45798" w:rsidRDefault="00101059" w:rsidP="00256E53">
      <w:pPr>
        <w:pStyle w:val="FootnoteText"/>
      </w:pPr>
      <w:r w:rsidRPr="00A45798">
        <w:rPr>
          <w:rStyle w:val="FootnoteReference"/>
        </w:rPr>
        <w:footnoteRef/>
      </w:r>
      <w:r w:rsidRPr="00A45798">
        <w:t xml:space="preserve"> Silverman v. OpenAI, Inc., No. 3:23-cv-03416 (N.D. Cal. filed July 7, 2023), ECF No. 1.</w:t>
      </w:r>
    </w:p>
  </w:footnote>
  <w:footnote w:id="249">
    <w:p w14:paraId="5CA8E95D" w14:textId="56C68948" w:rsidR="00101059" w:rsidRPr="00A45798" w:rsidRDefault="00101059" w:rsidP="00256E53">
      <w:pPr>
        <w:pStyle w:val="FootnoteText"/>
      </w:pPr>
      <w:r w:rsidRPr="00A45798">
        <w:rPr>
          <w:rStyle w:val="FootnoteReference"/>
        </w:rPr>
        <w:footnoteRef/>
      </w:r>
      <w:r w:rsidRPr="00A45798">
        <w:t xml:space="preserve"> </w:t>
      </w:r>
      <w:r>
        <w:t>US</w:t>
      </w:r>
      <w:r w:rsidRPr="00A45798">
        <w:t xml:space="preserve"> Judicial Panel on Multidistrict Litigation: Transfer Order: Schedule A</w:t>
      </w:r>
      <w:r>
        <w:t xml:space="preserve"> </w:t>
      </w:r>
      <w:r w:rsidRPr="00A45798">
        <w:t>(April 3, 2025).</w:t>
      </w:r>
    </w:p>
    <w:p w14:paraId="6DA69B7D" w14:textId="2A07241C" w:rsidR="00101059" w:rsidRPr="00A45798" w:rsidRDefault="00101059" w:rsidP="00C21F49">
      <w:pPr>
        <w:pStyle w:val="FootnoteText"/>
        <w:ind w:left="720"/>
      </w:pPr>
      <w:r w:rsidRPr="00A45798">
        <w:t>• Tremblay, et al. v. OpenAI, Inc., et al. (No. 3:23−03223).</w:t>
      </w:r>
    </w:p>
    <w:p w14:paraId="2BA7FAA8" w14:textId="77777777" w:rsidR="00101059" w:rsidRPr="00A45798" w:rsidRDefault="00101059" w:rsidP="00C21F49">
      <w:pPr>
        <w:pStyle w:val="FootnoteText"/>
        <w:ind w:left="720"/>
      </w:pPr>
      <w:r w:rsidRPr="00A45798">
        <w:t>• Silverman, et al. v. OpenAI, Inc., et al. (No. 3:23−03416).</w:t>
      </w:r>
    </w:p>
    <w:p w14:paraId="6647B667" w14:textId="77777777" w:rsidR="00101059" w:rsidRPr="00A45798" w:rsidRDefault="00101059" w:rsidP="00C21F49">
      <w:pPr>
        <w:pStyle w:val="FootnoteText"/>
        <w:ind w:left="720"/>
      </w:pPr>
      <w:r w:rsidRPr="00A45798">
        <w:t>• Chabon, et al. v. OpenAI, Inc., et al. (No. 3:23−04625).</w:t>
      </w:r>
    </w:p>
    <w:p w14:paraId="682D702C" w14:textId="77777777" w:rsidR="00101059" w:rsidRPr="00A45798" w:rsidRDefault="00101059" w:rsidP="00C21F49">
      <w:pPr>
        <w:pStyle w:val="FootnoteText"/>
        <w:ind w:left="720"/>
      </w:pPr>
      <w:r w:rsidRPr="00A45798">
        <w:t>• Millette v. OpenAI, Inc., et al. (No. 5:24−04710).</w:t>
      </w:r>
    </w:p>
    <w:p w14:paraId="32353143" w14:textId="77777777" w:rsidR="00101059" w:rsidRPr="00A45798" w:rsidRDefault="00101059" w:rsidP="00C21F49">
      <w:pPr>
        <w:pStyle w:val="FootnoteText"/>
        <w:ind w:left="720"/>
      </w:pPr>
      <w:r w:rsidRPr="00A45798">
        <w:t>• Authors Guild, et al. v. OpenAI, Inc., et al. (No. 1:23−08292).</w:t>
      </w:r>
    </w:p>
    <w:p w14:paraId="3DAF92AF" w14:textId="77777777" w:rsidR="00101059" w:rsidRPr="00A45798" w:rsidRDefault="00101059" w:rsidP="00C21F49">
      <w:pPr>
        <w:pStyle w:val="FootnoteText"/>
        <w:ind w:left="720"/>
      </w:pPr>
      <w:r w:rsidRPr="00A45798">
        <w:t>• Alter, et al. v. OpenAI, Inc., et al. (No. 1:23−10211).</w:t>
      </w:r>
    </w:p>
    <w:p w14:paraId="139B1805" w14:textId="77777777" w:rsidR="00101059" w:rsidRPr="00A45798" w:rsidRDefault="00101059" w:rsidP="00C21F49">
      <w:pPr>
        <w:pStyle w:val="FootnoteText"/>
        <w:ind w:left="720"/>
      </w:pPr>
      <w:r w:rsidRPr="00A45798">
        <w:t>• The New York Times Company v. Microsoft Corporation, et al. (No. 1:23−11195).</w:t>
      </w:r>
    </w:p>
    <w:p w14:paraId="3FF5467E" w14:textId="77777777" w:rsidR="00101059" w:rsidRPr="00A45798" w:rsidRDefault="00101059" w:rsidP="00C21F49">
      <w:pPr>
        <w:pStyle w:val="FootnoteText"/>
        <w:ind w:left="720"/>
      </w:pPr>
      <w:r w:rsidRPr="00A45798">
        <w:t>• Basbanes, et al. v. Microsoft Corporation, et al. (No. 1:24−00084).</w:t>
      </w:r>
    </w:p>
    <w:p w14:paraId="3F9E1EF9" w14:textId="77777777" w:rsidR="00101059" w:rsidRPr="00A45798" w:rsidRDefault="00101059" w:rsidP="00C21F49">
      <w:pPr>
        <w:pStyle w:val="FootnoteText"/>
        <w:ind w:left="720"/>
      </w:pPr>
      <w:r w:rsidRPr="00A45798">
        <w:t>• Raw Story Media, Inc., et al. v. OpenAI, Inc., et al. (No. 1:24−01514).</w:t>
      </w:r>
    </w:p>
    <w:p w14:paraId="30171013" w14:textId="77777777" w:rsidR="00101059" w:rsidRPr="00A45798" w:rsidRDefault="00101059" w:rsidP="00C21F49">
      <w:pPr>
        <w:pStyle w:val="FootnoteText"/>
        <w:ind w:left="720"/>
      </w:pPr>
      <w:r w:rsidRPr="00A45798">
        <w:t>• The Intercept Media, Inc. v. OpenAI, Inc., et al. (No. 1:24−01515).</w:t>
      </w:r>
    </w:p>
    <w:p w14:paraId="7FD065AA" w14:textId="77777777" w:rsidR="00101059" w:rsidRPr="00A45798" w:rsidRDefault="00101059" w:rsidP="00C21F49">
      <w:pPr>
        <w:pStyle w:val="FootnoteText"/>
        <w:ind w:left="720"/>
      </w:pPr>
      <w:r w:rsidRPr="00A45798">
        <w:t>• Daily News LP, et al. v. Microsoft Corporation, et al. (No. 1:24−03285).</w:t>
      </w:r>
    </w:p>
    <w:p w14:paraId="5F10A0BD" w14:textId="78D936DF" w:rsidR="00101059" w:rsidRPr="00A45798" w:rsidRDefault="00101059" w:rsidP="00C21F49">
      <w:pPr>
        <w:pStyle w:val="FootnoteText"/>
        <w:ind w:left="720"/>
      </w:pPr>
      <w:r w:rsidRPr="00A45798">
        <w:t>• The Center for Investigative Reporting, Inc. v. OpenAI, Inc., et al. (No. 1:24−04872).</w:t>
      </w:r>
    </w:p>
  </w:footnote>
  <w:footnote w:id="250">
    <w:p w14:paraId="20E5E432" w14:textId="0BAD8634" w:rsidR="00101059" w:rsidRPr="00A45798" w:rsidRDefault="00101059" w:rsidP="00256E53">
      <w:pPr>
        <w:pStyle w:val="FootnoteText"/>
      </w:pPr>
      <w:r w:rsidRPr="00A45798">
        <w:rPr>
          <w:rStyle w:val="FootnoteReference"/>
        </w:rPr>
        <w:footnoteRef/>
      </w:r>
      <w:r w:rsidRPr="00A45798">
        <w:t xml:space="preserve"> Intercept Media, Inc. v. OpenAI, 767 F.Supp.3d at 18 (2025).</w:t>
      </w:r>
    </w:p>
  </w:footnote>
  <w:footnote w:id="251">
    <w:p w14:paraId="4B0A62C1" w14:textId="0B44C913" w:rsidR="00101059" w:rsidRPr="00A45798" w:rsidRDefault="00101059" w:rsidP="00256E53">
      <w:pPr>
        <w:pStyle w:val="FootnoteText"/>
      </w:pPr>
      <w:r w:rsidRPr="00A45798">
        <w:rPr>
          <w:rStyle w:val="FootnoteReference"/>
        </w:rPr>
        <w:footnoteRef/>
      </w:r>
      <w:r w:rsidRPr="00A45798">
        <w:t xml:space="preserve"> New York Times </w:t>
      </w:r>
      <w:r>
        <w:t xml:space="preserve">Co. </w:t>
      </w:r>
      <w:r w:rsidRPr="00A45798">
        <w:t xml:space="preserve">v. </w:t>
      </w:r>
      <w:r>
        <w:t>Microsoft Corp.</w:t>
      </w:r>
      <w:r w:rsidRPr="00A45798">
        <w:t>, 777 F.Supp.3d at 283 (2025).</w:t>
      </w:r>
    </w:p>
  </w:footnote>
  <w:footnote w:id="252">
    <w:p w14:paraId="24DB31A1" w14:textId="54D21C5F" w:rsidR="00101059" w:rsidRPr="00A45798" w:rsidRDefault="00101059" w:rsidP="00256E53">
      <w:pPr>
        <w:pStyle w:val="FootnoteText"/>
      </w:pPr>
      <w:r w:rsidRPr="00A45798">
        <w:rPr>
          <w:rStyle w:val="FootnoteReference"/>
        </w:rPr>
        <w:footnoteRef/>
      </w:r>
      <w:r w:rsidRPr="00A45798">
        <w:t xml:space="preserve"> Tremblay, 716 F.Supp.3d at 772.</w:t>
      </w:r>
    </w:p>
  </w:footnote>
  <w:footnote w:id="253">
    <w:p w14:paraId="7F658B5A" w14:textId="67ACC839" w:rsidR="00101059" w:rsidRPr="00A45798" w:rsidRDefault="00101059" w:rsidP="00256E53">
      <w:pPr>
        <w:pStyle w:val="FootnoteText"/>
      </w:pPr>
      <w:r w:rsidRPr="00A45798">
        <w:rPr>
          <w:rStyle w:val="FootnoteReference"/>
        </w:rPr>
        <w:footnoteRef/>
      </w:r>
      <w:r w:rsidRPr="00A45798">
        <w:t xml:space="preserve"> </w:t>
      </w:r>
      <w:r w:rsidRPr="0057024A">
        <w:rPr>
          <w:i/>
        </w:rPr>
        <w:t xml:space="preserve">Id. </w:t>
      </w:r>
      <w:r w:rsidRPr="00A45798">
        <w:t>at 778-79.</w:t>
      </w:r>
    </w:p>
  </w:footnote>
  <w:footnote w:id="254">
    <w:p w14:paraId="3498A6A1" w14:textId="714F60E6" w:rsidR="00101059" w:rsidRPr="00A45798" w:rsidRDefault="00101059" w:rsidP="00256E53">
      <w:pPr>
        <w:pStyle w:val="FootnoteText"/>
      </w:pPr>
      <w:r w:rsidRPr="00A45798">
        <w:rPr>
          <w:rStyle w:val="FootnoteReference"/>
        </w:rPr>
        <w:footnoteRef/>
      </w:r>
      <w:r w:rsidRPr="00A45798">
        <w:t xml:space="preserve"> </w:t>
      </w:r>
      <w:r w:rsidRPr="00C21F49">
        <w:rPr>
          <w:i/>
        </w:rPr>
        <w:t>Id</w:t>
      </w:r>
      <w:r w:rsidRPr="0057024A">
        <w:t xml:space="preserve">. </w:t>
      </w:r>
    </w:p>
  </w:footnote>
  <w:footnote w:id="255">
    <w:p w14:paraId="4B15EBD1" w14:textId="6A8A1C34" w:rsidR="00101059" w:rsidRPr="00A45798" w:rsidRDefault="00101059" w:rsidP="00256E53">
      <w:pPr>
        <w:pStyle w:val="FootnoteText"/>
      </w:pPr>
      <w:r w:rsidRPr="00A45798">
        <w:rPr>
          <w:rStyle w:val="FootnoteReference"/>
        </w:rPr>
        <w:footnoteRef/>
      </w:r>
      <w:r w:rsidRPr="00A45798">
        <w:t xml:space="preserve"> </w:t>
      </w:r>
      <w:r w:rsidRPr="0057024A">
        <w:rPr>
          <w:i/>
        </w:rPr>
        <w:t xml:space="preserve">Id. </w:t>
      </w:r>
      <w:r w:rsidRPr="00A45798">
        <w:t>at 779-80.</w:t>
      </w:r>
    </w:p>
  </w:footnote>
  <w:footnote w:id="256">
    <w:p w14:paraId="66AA8BC8" w14:textId="20160132" w:rsidR="00101059" w:rsidRPr="00E92B42" w:rsidRDefault="00101059" w:rsidP="00256E53">
      <w:pPr>
        <w:pStyle w:val="FootnoteText"/>
      </w:pPr>
      <w:r w:rsidRPr="00E92B42">
        <w:rPr>
          <w:rStyle w:val="FootnoteReference"/>
          <w:i/>
          <w:iCs/>
        </w:rPr>
        <w:footnoteRef/>
      </w:r>
      <w:r w:rsidRPr="00E92B42">
        <w:t xml:space="preserve"> Intercept Media, Inc. v. OpenAI, 767 F.Supp.3d at 18</w:t>
      </w:r>
      <w:r>
        <w:t>, 29-33</w:t>
      </w:r>
      <w:r w:rsidRPr="00E92B42">
        <w:t xml:space="preserve"> (2025).</w:t>
      </w:r>
    </w:p>
  </w:footnote>
  <w:footnote w:id="257">
    <w:p w14:paraId="7C297CC9" w14:textId="4F68ED80" w:rsidR="00101059" w:rsidRPr="00E92B42" w:rsidRDefault="00101059" w:rsidP="00256E53">
      <w:pPr>
        <w:pStyle w:val="FootnoteText"/>
      </w:pPr>
      <w:r w:rsidRPr="00E92B42">
        <w:rPr>
          <w:rStyle w:val="FootnoteReference"/>
          <w:i/>
          <w:iCs/>
        </w:rPr>
        <w:footnoteRef/>
      </w:r>
      <w:r w:rsidRPr="00E92B42">
        <w:t xml:space="preserve"> </w:t>
      </w:r>
      <w:r w:rsidRPr="00C21F49">
        <w:rPr>
          <w:i/>
        </w:rPr>
        <w:t>Id</w:t>
      </w:r>
      <w:r w:rsidRPr="0057024A">
        <w:t xml:space="preserve">. </w:t>
      </w:r>
      <w:r w:rsidRPr="00E92B42">
        <w:t xml:space="preserve">at </w:t>
      </w:r>
      <w:r>
        <w:t>31-33.</w:t>
      </w:r>
    </w:p>
  </w:footnote>
  <w:footnote w:id="258">
    <w:p w14:paraId="3DB55C38" w14:textId="076C35F3" w:rsidR="00101059" w:rsidRPr="00E92B42" w:rsidRDefault="00101059" w:rsidP="00256E53">
      <w:pPr>
        <w:pStyle w:val="FootnoteText"/>
      </w:pPr>
      <w:r w:rsidRPr="00E92B42">
        <w:rPr>
          <w:rStyle w:val="FootnoteReference"/>
          <w:i/>
          <w:iCs/>
        </w:rPr>
        <w:footnoteRef/>
      </w:r>
      <w:r w:rsidRPr="00E92B42">
        <w:t xml:space="preserve"> </w:t>
      </w:r>
      <w:r w:rsidRPr="00C21F49">
        <w:rPr>
          <w:i/>
        </w:rPr>
        <w:t>Id</w:t>
      </w:r>
      <w:r w:rsidRPr="0057024A">
        <w:t xml:space="preserve">. </w:t>
      </w:r>
      <w:r w:rsidRPr="00E92B42">
        <w:t xml:space="preserve">at </w:t>
      </w:r>
      <w:r>
        <w:t>32-33.</w:t>
      </w:r>
    </w:p>
  </w:footnote>
  <w:footnote w:id="259">
    <w:p w14:paraId="4A2CCAD5" w14:textId="5D5E54B6" w:rsidR="00101059" w:rsidRPr="00E92B42" w:rsidRDefault="00101059" w:rsidP="00256E53">
      <w:pPr>
        <w:pStyle w:val="FootnoteText"/>
      </w:pPr>
      <w:r w:rsidRPr="00E92B42">
        <w:rPr>
          <w:rStyle w:val="FootnoteReference"/>
          <w:i/>
          <w:iCs/>
        </w:rPr>
        <w:footnoteRef/>
      </w:r>
      <w:r w:rsidRPr="00E92B42">
        <w:t xml:space="preserve"> </w:t>
      </w:r>
      <w:r w:rsidRPr="00C21F49">
        <w:rPr>
          <w:i/>
        </w:rPr>
        <w:t>Id</w:t>
      </w:r>
      <w:r w:rsidRPr="0057024A">
        <w:t xml:space="preserve">. </w:t>
      </w:r>
      <w:r w:rsidRPr="00E92B42">
        <w:t xml:space="preserve">at </w:t>
      </w:r>
      <w:r>
        <w:t>29-31.</w:t>
      </w:r>
    </w:p>
  </w:footnote>
  <w:footnote w:id="260">
    <w:p w14:paraId="3200FC82" w14:textId="791CDFB1" w:rsidR="00101059" w:rsidRPr="00E92B42" w:rsidRDefault="00101059" w:rsidP="00256E53">
      <w:pPr>
        <w:pStyle w:val="FootnoteText"/>
        <w:rPr>
          <w:iCs/>
        </w:rPr>
      </w:pPr>
      <w:r w:rsidRPr="00E92B42">
        <w:rPr>
          <w:rStyle w:val="FootnoteReference"/>
          <w:i/>
          <w:iCs/>
        </w:rPr>
        <w:footnoteRef/>
      </w:r>
      <w:r w:rsidRPr="00E92B42">
        <w:rPr>
          <w:iCs/>
        </w:rPr>
        <w:t xml:space="preserve"> </w:t>
      </w:r>
      <w:r w:rsidRPr="00C21F49">
        <w:rPr>
          <w:i/>
        </w:rPr>
        <w:t>Id</w:t>
      </w:r>
      <w:r w:rsidRPr="0057024A">
        <w:t xml:space="preserve">. </w:t>
      </w:r>
    </w:p>
  </w:footnote>
  <w:footnote w:id="261">
    <w:p w14:paraId="30FF7141" w14:textId="2F98FA96" w:rsidR="00101059" w:rsidRPr="00E92B42" w:rsidRDefault="00101059" w:rsidP="00256E53">
      <w:pPr>
        <w:pStyle w:val="FootnoteText"/>
      </w:pPr>
      <w:r w:rsidRPr="00E92B42">
        <w:rPr>
          <w:rStyle w:val="FootnoteReference"/>
          <w:i/>
          <w:iCs/>
        </w:rPr>
        <w:footnoteRef/>
      </w:r>
      <w:r w:rsidRPr="00E92B42">
        <w:t xml:space="preserve"> Complaint, New York Times Co. v. Microsoft Corp. &amp; OpenAI, Inc., No. 1:23-cv-11195-JSR (S.D.N.Y. filed Dec. 27, 2023) (alleging copyright infringement based on use of Times articles in AI training datasets).</w:t>
      </w:r>
    </w:p>
  </w:footnote>
  <w:footnote w:id="262">
    <w:p w14:paraId="523E957A" w14:textId="465B9E5A" w:rsidR="00101059" w:rsidRPr="00E92B42" w:rsidRDefault="00101059" w:rsidP="00256E53">
      <w:pPr>
        <w:pStyle w:val="FootnoteText"/>
      </w:pPr>
      <w:r w:rsidRPr="00E92B42">
        <w:rPr>
          <w:rStyle w:val="FootnoteReference"/>
          <w:i/>
          <w:iCs/>
        </w:rPr>
        <w:footnoteRef/>
      </w:r>
      <w:r w:rsidRPr="00E92B42">
        <w:t xml:space="preserve"> </w:t>
      </w:r>
      <w:r>
        <w:rPr>
          <w:i/>
        </w:rPr>
        <w:t xml:space="preserve">Id. </w:t>
      </w:r>
    </w:p>
  </w:footnote>
  <w:footnote w:id="263">
    <w:p w14:paraId="6BF7CC0E" w14:textId="01DC40D4" w:rsidR="00101059" w:rsidRPr="00E92B42" w:rsidRDefault="00101059" w:rsidP="00256E53">
      <w:pPr>
        <w:pStyle w:val="FootnoteText"/>
      </w:pPr>
      <w:r w:rsidRPr="00E92B42">
        <w:rPr>
          <w:rStyle w:val="FootnoteReference"/>
          <w:i/>
          <w:iCs/>
        </w:rPr>
        <w:footnoteRef/>
      </w:r>
      <w:r w:rsidRPr="00E92B42">
        <w:t xml:space="preserve"> New York Times v, Microsoft, 777 F.Supp.3d 283 (2025).</w:t>
      </w:r>
    </w:p>
  </w:footnote>
  <w:footnote w:id="264">
    <w:p w14:paraId="3246D0E8" w14:textId="06E4B51E" w:rsidR="00101059" w:rsidRPr="00E92B42" w:rsidRDefault="00101059" w:rsidP="00256E53">
      <w:pPr>
        <w:pStyle w:val="FootnoteText"/>
      </w:pPr>
      <w:r w:rsidRPr="00E92B42">
        <w:rPr>
          <w:rStyle w:val="FootnoteReference"/>
          <w:i/>
          <w:iCs/>
        </w:rPr>
        <w:footnoteRef/>
      </w:r>
      <w:r w:rsidRPr="00E92B42">
        <w:t xml:space="preserve"> </w:t>
      </w:r>
      <w:r w:rsidRPr="00C21F49">
        <w:rPr>
          <w:i/>
        </w:rPr>
        <w:t>Id</w:t>
      </w:r>
      <w:r w:rsidRPr="0057024A">
        <w:t>.</w:t>
      </w:r>
      <w:r w:rsidRPr="00E92B42">
        <w:t xml:space="preserve"> at 309-19.</w:t>
      </w:r>
    </w:p>
  </w:footnote>
  <w:footnote w:id="265">
    <w:p w14:paraId="51E90DCD" w14:textId="0F050210" w:rsidR="00101059" w:rsidRPr="00E92B42" w:rsidRDefault="00101059" w:rsidP="00256E53">
      <w:pPr>
        <w:pStyle w:val="FootnoteText"/>
      </w:pPr>
      <w:r w:rsidRPr="00E92B42">
        <w:rPr>
          <w:rStyle w:val="FootnoteReference"/>
          <w:i/>
          <w:iCs/>
        </w:rPr>
        <w:footnoteRef/>
      </w:r>
      <w:r w:rsidRPr="00E92B42">
        <w:t xml:space="preserve"> </w:t>
      </w:r>
      <w:r w:rsidRPr="00C21F49">
        <w:rPr>
          <w:i/>
        </w:rPr>
        <w:t>Id</w:t>
      </w:r>
      <w:r w:rsidRPr="0057024A">
        <w:t xml:space="preserve">. </w:t>
      </w:r>
      <w:r w:rsidRPr="00E92B42">
        <w:t>at 3014-15.</w:t>
      </w:r>
    </w:p>
  </w:footnote>
  <w:footnote w:id="266">
    <w:p w14:paraId="50709924" w14:textId="4E2CE233" w:rsidR="00101059" w:rsidRDefault="00101059" w:rsidP="00256E53">
      <w:pPr>
        <w:pStyle w:val="FootnoteText"/>
      </w:pPr>
      <w:r w:rsidRPr="00E92B42">
        <w:rPr>
          <w:rStyle w:val="FootnoteReference"/>
          <w:i/>
          <w:iCs/>
        </w:rPr>
        <w:footnoteRef/>
      </w:r>
      <w:r w:rsidRPr="00E92B42">
        <w:t xml:space="preserve"> </w:t>
      </w:r>
      <w:r w:rsidRPr="00C21F49">
        <w:rPr>
          <w:i/>
        </w:rPr>
        <w:t>Id</w:t>
      </w:r>
      <w:r w:rsidRPr="0057024A">
        <w:t xml:space="preserve">. </w:t>
      </w:r>
      <w:r w:rsidRPr="00E92B42">
        <w:t>at 315.</w:t>
      </w:r>
    </w:p>
  </w:footnote>
  <w:footnote w:id="267">
    <w:p w14:paraId="451C6141" w14:textId="28596552" w:rsidR="00101059" w:rsidRDefault="00101059">
      <w:pPr>
        <w:pStyle w:val="FootnoteText"/>
      </w:pPr>
      <w:r>
        <w:rPr>
          <w:rStyle w:val="FootnoteReference"/>
        </w:rPr>
        <w:footnoteRef/>
      </w:r>
      <w:r>
        <w:t xml:space="preserve"> </w:t>
      </w:r>
      <w:r w:rsidRPr="00DC641A">
        <w:rPr>
          <w:i/>
        </w:rPr>
        <w:t>See supra</w:t>
      </w:r>
      <w:r>
        <w:t xml:space="preserve"> Part VII.B.1.</w:t>
      </w:r>
    </w:p>
  </w:footnote>
  <w:footnote w:id="268">
    <w:p w14:paraId="34CD1218" w14:textId="7C92A27D" w:rsidR="00101059" w:rsidRDefault="00101059">
      <w:pPr>
        <w:pStyle w:val="FootnoteText"/>
      </w:pPr>
      <w:r>
        <w:rPr>
          <w:rStyle w:val="FootnoteReference"/>
        </w:rPr>
        <w:footnoteRef/>
      </w:r>
      <w:r>
        <w:t xml:space="preserve"> </w:t>
      </w:r>
      <w:r w:rsidRPr="00DC641A">
        <w:rPr>
          <w:i/>
        </w:rPr>
        <w:t>See supra</w:t>
      </w:r>
      <w:r>
        <w:t xml:space="preserve"> Part VII.B.2.</w:t>
      </w:r>
    </w:p>
  </w:footnote>
  <w:footnote w:id="269">
    <w:p w14:paraId="1887AC9D" w14:textId="57A6A07F" w:rsidR="00101059" w:rsidRDefault="00101059">
      <w:pPr>
        <w:pStyle w:val="FootnoteText"/>
      </w:pPr>
      <w:r>
        <w:rPr>
          <w:rStyle w:val="FootnoteReference"/>
        </w:rPr>
        <w:footnoteRef/>
      </w:r>
      <w:r>
        <w:t xml:space="preserve"> </w:t>
      </w:r>
      <w:r w:rsidRPr="00DC641A">
        <w:rPr>
          <w:i/>
        </w:rPr>
        <w:t>See supra</w:t>
      </w:r>
      <w:r>
        <w:t xml:space="preserve"> Part VII.B.3.</w:t>
      </w:r>
    </w:p>
  </w:footnote>
  <w:footnote w:id="270">
    <w:p w14:paraId="4AF29038" w14:textId="3BABD4E1" w:rsidR="00101059" w:rsidRDefault="00101059">
      <w:pPr>
        <w:pStyle w:val="FootnoteText"/>
      </w:pPr>
      <w:r>
        <w:rPr>
          <w:rStyle w:val="FootnoteReference"/>
        </w:rPr>
        <w:footnoteRef/>
      </w:r>
      <w:r>
        <w:t xml:space="preserve"> </w:t>
      </w:r>
      <w:r w:rsidRPr="003B495D">
        <w:rPr>
          <w:i/>
        </w:rPr>
        <w:t>HathiTrust</w:t>
      </w:r>
      <w:r>
        <w:t>, 755 F.3d at 95.</w:t>
      </w:r>
    </w:p>
  </w:footnote>
  <w:footnote w:id="271">
    <w:p w14:paraId="5EFB4D9D" w14:textId="6EC4EB3A" w:rsidR="00101059" w:rsidRDefault="00101059">
      <w:pPr>
        <w:pStyle w:val="FootnoteText"/>
      </w:pPr>
      <w:r>
        <w:rPr>
          <w:rStyle w:val="FootnoteReference"/>
        </w:rPr>
        <w:footnoteRef/>
      </w:r>
      <w:r>
        <w:t xml:space="preserve"> </w:t>
      </w:r>
      <w:r w:rsidRPr="00DC641A">
        <w:rPr>
          <w:i/>
        </w:rPr>
        <w:t>Google Books</w:t>
      </w:r>
      <w:r>
        <w:t>, 804 F.3d at 212.</w:t>
      </w:r>
    </w:p>
  </w:footnote>
  <w:footnote w:id="272">
    <w:p w14:paraId="6B792A3A" w14:textId="02FC5C13" w:rsidR="00101059" w:rsidRDefault="00101059">
      <w:pPr>
        <w:pStyle w:val="FootnoteText"/>
      </w:pPr>
      <w:r>
        <w:rPr>
          <w:rStyle w:val="FootnoteReference"/>
        </w:rPr>
        <w:footnoteRef/>
      </w:r>
      <w:r>
        <w:t xml:space="preserve"> Google LLC v. Oracle America, Inc. 593 U.S. 1, 3 (2021).</w:t>
      </w:r>
    </w:p>
  </w:footnote>
  <w:footnote w:id="273">
    <w:p w14:paraId="5FE24137" w14:textId="244C029B" w:rsidR="00101059" w:rsidRDefault="00101059">
      <w:pPr>
        <w:pStyle w:val="FootnoteText"/>
      </w:pPr>
      <w:r>
        <w:rPr>
          <w:rStyle w:val="FootnoteReference"/>
        </w:rPr>
        <w:footnoteRef/>
      </w:r>
      <w:r>
        <w:t xml:space="preserve"> </w:t>
      </w:r>
      <w:r w:rsidRPr="00DC641A">
        <w:rPr>
          <w:i/>
        </w:rPr>
        <w:t>Id</w:t>
      </w:r>
      <w:r>
        <w:t>.</w:t>
      </w:r>
    </w:p>
  </w:footnote>
  <w:footnote w:id="274">
    <w:p w14:paraId="172292A3" w14:textId="23FF70E3" w:rsidR="00101059" w:rsidRDefault="00101059">
      <w:pPr>
        <w:pStyle w:val="FootnoteText"/>
      </w:pPr>
      <w:r>
        <w:rPr>
          <w:rStyle w:val="FootnoteReference"/>
        </w:rPr>
        <w:footnoteRef/>
      </w:r>
      <w:r>
        <w:t xml:space="preserve"> </w:t>
      </w:r>
      <w:r w:rsidRPr="00DC641A">
        <w:rPr>
          <w:i/>
        </w:rPr>
        <w:t>See supra</w:t>
      </w:r>
      <w:r>
        <w:t xml:space="preserve"> Part VII.C.3.</w:t>
      </w:r>
    </w:p>
  </w:footnote>
  <w:footnote w:id="275">
    <w:p w14:paraId="54F7CE48" w14:textId="29A01E06" w:rsidR="00101059" w:rsidRDefault="00101059">
      <w:pPr>
        <w:pStyle w:val="FootnoteText"/>
      </w:pPr>
      <w:r>
        <w:rPr>
          <w:rStyle w:val="FootnoteReference"/>
        </w:rPr>
        <w:footnoteRef/>
      </w:r>
      <w:r>
        <w:t xml:space="preserve"> Bartz v. Anthropic PBC, 787 F.Supp.3d 1007, 1019 (2025). The court did not grant summary judgment with regard to the books that defendant had pirated, rather than purchased. </w:t>
      </w:r>
      <w:r w:rsidRPr="00BB5AF9">
        <w:rPr>
          <w:i/>
        </w:rPr>
        <w:t>Id</w:t>
      </w:r>
      <w:r>
        <w:t>. at 1033-34.</w:t>
      </w:r>
    </w:p>
  </w:footnote>
  <w:footnote w:id="276">
    <w:p w14:paraId="0A3CB1F1" w14:textId="7FFD90AF" w:rsidR="00101059" w:rsidRDefault="00101059">
      <w:pPr>
        <w:pStyle w:val="FootnoteText"/>
      </w:pPr>
      <w:r>
        <w:rPr>
          <w:rStyle w:val="FootnoteReference"/>
        </w:rPr>
        <w:footnoteRef/>
      </w:r>
      <w:r>
        <w:t xml:space="preserve"> </w:t>
      </w:r>
      <w:r w:rsidRPr="00DC641A">
        <w:rPr>
          <w:i/>
        </w:rPr>
        <w:t>See supra</w:t>
      </w:r>
      <w:r>
        <w:t xml:space="preserve"> Part VII.C.4.</w:t>
      </w:r>
    </w:p>
  </w:footnote>
  <w:footnote w:id="277">
    <w:p w14:paraId="66621A1E" w14:textId="42DAFCCF" w:rsidR="00101059" w:rsidRDefault="00101059">
      <w:pPr>
        <w:pStyle w:val="FootnoteText"/>
      </w:pPr>
      <w:r>
        <w:rPr>
          <w:rStyle w:val="FootnoteReference"/>
        </w:rPr>
        <w:footnoteRef/>
      </w:r>
      <w:r>
        <w:t xml:space="preserve"> Kadrey v. Meta Platforms, Inc., 788 F.Supp.3d 1026, 1036 (2025). For full quote, </w:t>
      </w:r>
      <w:r>
        <w:rPr>
          <w:i/>
        </w:rPr>
        <w:t>s</w:t>
      </w:r>
      <w:r w:rsidRPr="008762AB">
        <w:rPr>
          <w:i/>
        </w:rPr>
        <w:t>ee supra</w:t>
      </w:r>
      <w:r>
        <w:t xml:space="preserve"> note 227 and accompanying text.</w:t>
      </w:r>
    </w:p>
  </w:footnote>
  <w:footnote w:id="278">
    <w:p w14:paraId="3DA8900D" w14:textId="3057744B" w:rsidR="00101059" w:rsidRDefault="00101059">
      <w:pPr>
        <w:pStyle w:val="FootnoteText"/>
      </w:pPr>
      <w:r>
        <w:rPr>
          <w:rStyle w:val="FootnoteReference"/>
        </w:rPr>
        <w:footnoteRef/>
      </w:r>
      <w:r>
        <w:t xml:space="preserve"> </w:t>
      </w:r>
      <w:r w:rsidRPr="00DC641A">
        <w:rPr>
          <w:i/>
        </w:rPr>
        <w:t>See supra</w:t>
      </w:r>
      <w:r>
        <w:t xml:space="preserve"> Part VII.B.4.</w:t>
      </w:r>
    </w:p>
  </w:footnote>
  <w:footnote w:id="279">
    <w:p w14:paraId="13FC3589" w14:textId="45E9F693" w:rsidR="00101059" w:rsidRDefault="00101059">
      <w:pPr>
        <w:pStyle w:val="FootnoteText"/>
      </w:pPr>
      <w:r>
        <w:rPr>
          <w:rStyle w:val="FootnoteReference"/>
        </w:rPr>
        <w:footnoteRef/>
      </w:r>
      <w:r>
        <w:t xml:space="preserve"> </w:t>
      </w:r>
      <w:r w:rsidRPr="003E3F42">
        <w:t>Thomson Reuter Enter: Centre G</w:t>
      </w:r>
      <w:r>
        <w:t>MBH</w:t>
      </w:r>
      <w:r w:rsidRPr="003E3F42">
        <w:t xml:space="preserve"> v. Ross Intell., Inc., 765 F.Supp.3d 382</w:t>
      </w:r>
      <w:r>
        <w:t>, 297-99</w:t>
      </w:r>
      <w:r w:rsidRPr="003E3F42">
        <w:t xml:space="preserve"> (D. Del. 2025), </w:t>
      </w:r>
      <w:r w:rsidRPr="00CB54DA">
        <w:rPr>
          <w:i/>
        </w:rPr>
        <w:t>appeal docketed</w:t>
      </w:r>
      <w:r w:rsidRPr="003E3F42">
        <w:t>, No. 25-8018 (</w:t>
      </w:r>
      <w:r>
        <w:t xml:space="preserve">3rd </w:t>
      </w:r>
      <w:r w:rsidRPr="003E3F42">
        <w:t>Cir. April 14, 2025).</w:t>
      </w:r>
    </w:p>
  </w:footnote>
  <w:footnote w:id="280">
    <w:p w14:paraId="40C50C78" w14:textId="6DB3D75C" w:rsidR="00101059" w:rsidRDefault="00101059">
      <w:pPr>
        <w:pStyle w:val="FootnoteText"/>
      </w:pPr>
      <w:r>
        <w:rPr>
          <w:rStyle w:val="FootnoteReference"/>
        </w:rPr>
        <w:footnoteRef/>
      </w:r>
      <w:r>
        <w:t xml:space="preserve"> </w:t>
      </w:r>
      <w:r w:rsidRPr="00DC641A">
        <w:rPr>
          <w:i/>
        </w:rPr>
        <w:t>See supra</w:t>
      </w:r>
      <w:r>
        <w:t xml:space="preserve"> Part VII.C.6.</w:t>
      </w:r>
    </w:p>
  </w:footnote>
  <w:footnote w:id="281">
    <w:p w14:paraId="4BE2864E" w14:textId="335F2718" w:rsidR="00101059" w:rsidRDefault="00101059">
      <w:pPr>
        <w:pStyle w:val="FootnoteText"/>
      </w:pPr>
      <w:r>
        <w:rPr>
          <w:rStyle w:val="FootnoteReference"/>
        </w:rPr>
        <w:footnoteRef/>
      </w:r>
      <w:r>
        <w:t xml:space="preserve"> Pamela Samuelson, </w:t>
      </w:r>
      <w:r w:rsidRPr="0088214C">
        <w:rPr>
          <w:i/>
        </w:rPr>
        <w:t>Fair Use Defenses in Disruptive Technology Cases</w:t>
      </w:r>
      <w:r>
        <w:t xml:space="preserve">, 71 </w:t>
      </w:r>
      <w:r w:rsidRPr="0088214C">
        <w:rPr>
          <w:smallCaps/>
        </w:rPr>
        <w:t>UCLA L. Rev.</w:t>
      </w:r>
      <w:r>
        <w:t xml:space="preserve"> 1484, 1563 (2024).</w:t>
      </w:r>
    </w:p>
  </w:footnote>
  <w:footnote w:id="282">
    <w:p w14:paraId="0CE7A6E3" w14:textId="23D07F99" w:rsidR="00101059" w:rsidRDefault="00101059">
      <w:pPr>
        <w:pStyle w:val="FootnoteText"/>
      </w:pPr>
      <w:r>
        <w:rPr>
          <w:rStyle w:val="FootnoteReference"/>
        </w:rPr>
        <w:footnoteRef/>
      </w:r>
      <w:r>
        <w:t xml:space="preserve"> </w:t>
      </w:r>
      <w:r w:rsidRPr="0088214C">
        <w:rPr>
          <w:i/>
        </w:rPr>
        <w:t>Id</w:t>
      </w:r>
      <w:r>
        <w:t>. at 1563.</w:t>
      </w:r>
    </w:p>
  </w:footnote>
  <w:footnote w:id="283">
    <w:p w14:paraId="318F7F15" w14:textId="4E92D651" w:rsidR="00101059" w:rsidRDefault="00101059">
      <w:pPr>
        <w:pStyle w:val="FootnoteText"/>
      </w:pPr>
      <w:r>
        <w:rPr>
          <w:rStyle w:val="FootnoteReference"/>
        </w:rPr>
        <w:footnoteRef/>
      </w:r>
      <w:r>
        <w:t xml:space="preserve"> </w:t>
      </w:r>
      <w:r w:rsidRPr="0088214C">
        <w:rPr>
          <w:i/>
        </w:rPr>
        <w:t>Id</w:t>
      </w:r>
      <w:r>
        <w:t>. at 1570.</w:t>
      </w:r>
    </w:p>
  </w:footnote>
  <w:footnote w:id="284">
    <w:p w14:paraId="6D234450" w14:textId="0AF7CF52" w:rsidR="00101059" w:rsidRDefault="00101059">
      <w:pPr>
        <w:pStyle w:val="FootnoteText"/>
      </w:pPr>
      <w:r>
        <w:rPr>
          <w:rStyle w:val="FootnoteReference"/>
        </w:rPr>
        <w:footnoteRef/>
      </w:r>
      <w:r>
        <w:t xml:space="preserve"> </w:t>
      </w:r>
      <w:r w:rsidRPr="0088214C">
        <w:rPr>
          <w:i/>
        </w:rPr>
        <w:t>Id</w:t>
      </w:r>
      <w:r>
        <w:t>. at 1563.</w:t>
      </w:r>
    </w:p>
  </w:footnote>
  <w:footnote w:id="285">
    <w:p w14:paraId="2CD7F2F3" w14:textId="058FAE2F" w:rsidR="00101059" w:rsidRDefault="00101059">
      <w:pPr>
        <w:pStyle w:val="FootnoteText"/>
      </w:pPr>
      <w:r>
        <w:rPr>
          <w:rStyle w:val="FootnoteReference"/>
        </w:rPr>
        <w:footnoteRef/>
      </w:r>
      <w:r>
        <w:t xml:space="preserve"> </w:t>
      </w:r>
      <w:r w:rsidRPr="0088214C">
        <w:rPr>
          <w:i/>
        </w:rPr>
        <w:t>Id</w:t>
      </w:r>
      <w:r>
        <w:t>. at 1564.</w:t>
      </w:r>
    </w:p>
  </w:footnote>
  <w:footnote w:id="286">
    <w:p w14:paraId="241AC7A3" w14:textId="2B8B753F" w:rsidR="00101059" w:rsidRDefault="00101059">
      <w:pPr>
        <w:pStyle w:val="FootnoteText"/>
      </w:pPr>
      <w:r>
        <w:rPr>
          <w:rStyle w:val="FootnoteReference"/>
        </w:rPr>
        <w:footnoteRef/>
      </w:r>
      <w:r>
        <w:t xml:space="preserve"> </w:t>
      </w:r>
      <w:r w:rsidRPr="0088214C">
        <w:rPr>
          <w:i/>
        </w:rPr>
        <w:t>Id</w:t>
      </w:r>
      <w:r>
        <w:t>. at 1572.</w:t>
      </w:r>
    </w:p>
  </w:footnote>
  <w:footnote w:id="287">
    <w:p w14:paraId="4E8A0EB1" w14:textId="28D7FA7B" w:rsidR="00101059" w:rsidRDefault="00101059">
      <w:pPr>
        <w:pStyle w:val="FootnoteText"/>
      </w:pPr>
      <w:r>
        <w:rPr>
          <w:rStyle w:val="FootnoteReference"/>
        </w:rPr>
        <w:footnoteRef/>
      </w:r>
      <w:r>
        <w:t xml:space="preserve"> A. Feder Cooper and James Grimmelmann, </w:t>
      </w:r>
      <w:r w:rsidRPr="005129D6">
        <w:rPr>
          <w:i/>
        </w:rPr>
        <w:t>The Files Are in the Computer: On Copyright, Memorization, and Generative AI</w:t>
      </w:r>
      <w:r>
        <w:t xml:space="preserve">, 100 </w:t>
      </w:r>
      <w:r w:rsidRPr="005129D6">
        <w:rPr>
          <w:smallCaps/>
        </w:rPr>
        <w:t>Chicago-Kent L. Rev.</w:t>
      </w:r>
      <w:r>
        <w:t xml:space="preserve"> 141, 169 (2025).</w:t>
      </w:r>
    </w:p>
  </w:footnote>
  <w:footnote w:id="288">
    <w:p w14:paraId="521B7AC5" w14:textId="177CE14C" w:rsidR="00101059" w:rsidRDefault="00101059">
      <w:pPr>
        <w:pStyle w:val="FootnoteText"/>
      </w:pPr>
      <w:r>
        <w:rPr>
          <w:rStyle w:val="FootnoteReference"/>
        </w:rPr>
        <w:footnoteRef/>
      </w:r>
      <w:r>
        <w:t xml:space="preserve"> </w:t>
      </w:r>
      <w:r w:rsidRPr="0057024A">
        <w:t xml:space="preserve">Matthew Sag, </w:t>
      </w:r>
      <w:r w:rsidRPr="009451CA">
        <w:rPr>
          <w:i/>
          <w:iCs/>
        </w:rPr>
        <w:t>Fairness</w:t>
      </w:r>
      <w:r>
        <w:rPr>
          <w:i/>
          <w:iCs/>
        </w:rPr>
        <w:t xml:space="preserve">, supra </w:t>
      </w:r>
      <w:r w:rsidRPr="008D3956">
        <w:rPr>
          <w:iCs/>
        </w:rPr>
        <w:t>note 147</w:t>
      </w:r>
      <w:r>
        <w:rPr>
          <w:iCs/>
        </w:rPr>
        <w:t xml:space="preserve"> at</w:t>
      </w:r>
      <w:r w:rsidRPr="0057024A">
        <w:t xml:space="preserve"> 18</w:t>
      </w:r>
      <w:r>
        <w:t>99</w:t>
      </w:r>
      <w:r w:rsidRPr="0057024A">
        <w:t xml:space="preserve"> n.</w:t>
      </w:r>
      <w:r>
        <w:t>7</w:t>
      </w:r>
      <w:r w:rsidRPr="0057024A">
        <w:t>2</w:t>
      </w:r>
      <w:r>
        <w:t>.</w:t>
      </w:r>
    </w:p>
  </w:footnote>
  <w:footnote w:id="289">
    <w:p w14:paraId="1D51AF33" w14:textId="5C4EF2FD" w:rsidR="00101059" w:rsidRDefault="00101059">
      <w:pPr>
        <w:pStyle w:val="FootnoteText"/>
      </w:pPr>
      <w:r>
        <w:rPr>
          <w:rStyle w:val="FootnoteReference"/>
        </w:rPr>
        <w:footnoteRef/>
      </w:r>
      <w:r>
        <w:t xml:space="preserve"> Matthew Sag, </w:t>
      </w:r>
      <w:r w:rsidRPr="000B4B18">
        <w:rPr>
          <w:i/>
        </w:rPr>
        <w:t>Copyright Safety</w:t>
      </w:r>
      <w:r>
        <w:rPr>
          <w:i/>
        </w:rPr>
        <w:t xml:space="preserve"> supra</w:t>
      </w:r>
      <w:r>
        <w:t xml:space="preserve">note163, at 343 (2023). For full quote, </w:t>
      </w:r>
      <w:r>
        <w:rPr>
          <w:i/>
        </w:rPr>
        <w:t>s</w:t>
      </w:r>
      <w:r w:rsidRPr="008762AB">
        <w:rPr>
          <w:i/>
        </w:rPr>
        <w:t>ee supra</w:t>
      </w:r>
      <w:r>
        <w:t xml:space="preserve"> note 163 and accompanying text.</w:t>
      </w:r>
    </w:p>
  </w:footnote>
  <w:footnote w:id="290">
    <w:p w14:paraId="48E9EB9C" w14:textId="3BCD7BD2" w:rsidR="00101059" w:rsidRDefault="00101059">
      <w:pPr>
        <w:pStyle w:val="FootnoteText"/>
      </w:pPr>
      <w:r>
        <w:rPr>
          <w:rStyle w:val="FootnoteReference"/>
        </w:rPr>
        <w:footnoteRef/>
      </w:r>
      <w:r>
        <w:t xml:space="preserve"> Matthew Sag, supra note 288 at 1920</w:t>
      </w:r>
    </w:p>
  </w:footnote>
  <w:footnote w:id="291">
    <w:p w14:paraId="237CAA04" w14:textId="10E0BE17" w:rsidR="00101059" w:rsidRDefault="00101059">
      <w:pPr>
        <w:pStyle w:val="FootnoteText"/>
      </w:pPr>
      <w:r>
        <w:rPr>
          <w:rStyle w:val="FootnoteReference"/>
        </w:rPr>
        <w:footnoteRef/>
      </w:r>
      <w:r>
        <w:t xml:space="preserve"> Mark A. Lemley and Bryan Casey, </w:t>
      </w:r>
      <w:r w:rsidRPr="00F262D3">
        <w:rPr>
          <w:i/>
        </w:rPr>
        <w:t>Fair Learning</w:t>
      </w:r>
      <w:r>
        <w:t xml:space="preserve">, </w:t>
      </w:r>
      <w:r w:rsidRPr="008D3956">
        <w:rPr>
          <w:i/>
        </w:rPr>
        <w:t>supra</w:t>
      </w:r>
      <w:r>
        <w:t xml:space="preserve"> note 149 at 772. For full quote, </w:t>
      </w:r>
      <w:r>
        <w:rPr>
          <w:i/>
        </w:rPr>
        <w:t>s</w:t>
      </w:r>
      <w:r w:rsidRPr="008762AB">
        <w:rPr>
          <w:i/>
        </w:rPr>
        <w:t>ee supra</w:t>
      </w:r>
      <w:r>
        <w:t xml:space="preserve"> note 149</w:t>
      </w:r>
      <w:r w:rsidRPr="000C19C1">
        <w:t xml:space="preserve"> </w:t>
      </w:r>
      <w:r>
        <w:t>and accompanying text.</w:t>
      </w:r>
    </w:p>
  </w:footnote>
  <w:footnote w:id="292">
    <w:p w14:paraId="4AC24A7B" w14:textId="4D408051" w:rsidR="00101059" w:rsidRDefault="00101059">
      <w:pPr>
        <w:pStyle w:val="FootnoteText"/>
      </w:pPr>
      <w:r>
        <w:rPr>
          <w:rStyle w:val="FootnoteReference"/>
        </w:rPr>
        <w:footnoteRef/>
      </w:r>
      <w:r>
        <w:t xml:space="preserve"> </w:t>
      </w:r>
      <w:r w:rsidRPr="006374F6">
        <w:rPr>
          <w:i/>
        </w:rPr>
        <w:t>Id</w:t>
      </w:r>
      <w:r>
        <w:t>. at 776.</w:t>
      </w:r>
    </w:p>
  </w:footnote>
  <w:footnote w:id="293">
    <w:p w14:paraId="075B3108" w14:textId="156ED29E" w:rsidR="00101059" w:rsidRDefault="00101059">
      <w:pPr>
        <w:pStyle w:val="FootnoteText"/>
      </w:pPr>
      <w:r>
        <w:rPr>
          <w:rStyle w:val="FootnoteReference"/>
        </w:rPr>
        <w:footnoteRef/>
      </w:r>
      <w:r>
        <w:t xml:space="preserve"> </w:t>
      </w:r>
      <w:r w:rsidRPr="00314091">
        <w:rPr>
          <w:i/>
        </w:rPr>
        <w:t>See</w:t>
      </w:r>
      <w:r>
        <w:t xml:space="preserve"> </w:t>
      </w:r>
      <w:r w:rsidRPr="00F86020">
        <w:rPr>
          <w:i/>
        </w:rPr>
        <w:t>Copyright Office: Part 3</w:t>
      </w:r>
      <w:r>
        <w:t xml:space="preserve">, </w:t>
      </w:r>
      <w:r w:rsidRPr="00F86020">
        <w:rPr>
          <w:i/>
        </w:rPr>
        <w:t>supra</w:t>
      </w:r>
      <w:r>
        <w:t xml:space="preserve"> note 1, at 85-106 (discussing licensing).</w:t>
      </w:r>
    </w:p>
  </w:footnote>
  <w:footnote w:id="294">
    <w:p w14:paraId="1B8D74E1" w14:textId="3F6D5181" w:rsidR="00101059" w:rsidRPr="00F178E0" w:rsidRDefault="00101059">
      <w:pPr>
        <w:pStyle w:val="FootnoteText"/>
      </w:pPr>
      <w:r>
        <w:rPr>
          <w:rStyle w:val="FootnoteReference"/>
        </w:rPr>
        <w:footnoteRef/>
      </w:r>
      <w:r>
        <w:t xml:space="preserve"> This issue has yet to be resolved. Compare the harsh result for pirated works in </w:t>
      </w:r>
      <w:r w:rsidRPr="00F178E0">
        <w:rPr>
          <w:i/>
        </w:rPr>
        <w:t>Bartz</w:t>
      </w:r>
      <w:r>
        <w:rPr>
          <w:i/>
        </w:rPr>
        <w:t xml:space="preserve"> </w:t>
      </w:r>
      <w:r w:rsidRPr="00F178E0">
        <w:t>with</w:t>
      </w:r>
      <w:r>
        <w:rPr>
          <w:i/>
        </w:rPr>
        <w:t xml:space="preserve"> Kadrey’s</w:t>
      </w:r>
      <w:r>
        <w:t xml:space="preserve"> statement “</w:t>
      </w:r>
      <w:r w:rsidRPr="00F178E0">
        <w:t xml:space="preserve">that to deem defendant’s act as </w:t>
      </w:r>
      <w:r>
        <w:t>‘</w:t>
      </w:r>
      <w:r w:rsidRPr="00F178E0">
        <w:t>piracy</w:t>
      </w:r>
      <w:r>
        <w:t>’</w:t>
      </w:r>
      <w:r w:rsidRPr="00F178E0">
        <w:t xml:space="preserve"> and eliminate a fair use claim would negate the whole point of fair use analysis – to determine whether a given act of copying was unlawful</w:t>
      </w:r>
      <w:r>
        <w:t xml:space="preserve">.” Kadrey v. Meta Platforms, Inc., 788 F.Supp.3d 1026, 1042 (2025); </w:t>
      </w:r>
      <w:r w:rsidRPr="00E60E7E">
        <w:rPr>
          <w:i/>
        </w:rPr>
        <w:t>see supra</w:t>
      </w:r>
      <w:r>
        <w:t xml:space="preserve"> Parts VII.C.3 and VII.C.4.</w:t>
      </w:r>
    </w:p>
  </w:footnote>
  <w:footnote w:id="295">
    <w:p w14:paraId="09B10D68" w14:textId="2151ACBA" w:rsidR="00101059" w:rsidRDefault="00101059">
      <w:pPr>
        <w:pStyle w:val="FootnoteText"/>
      </w:pPr>
      <w:r>
        <w:rPr>
          <w:rStyle w:val="FootnoteReference"/>
        </w:rPr>
        <w:footnoteRef/>
      </w:r>
      <w:r>
        <w:t xml:space="preserve"> </w:t>
      </w:r>
      <w:r w:rsidRPr="00B7064A">
        <w:rPr>
          <w:i/>
        </w:rPr>
        <w:t>See supra</w:t>
      </w:r>
      <w:r>
        <w:t xml:space="preserve"> Part VII.A.5.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97434"/>
    <w:multiLevelType w:val="multilevel"/>
    <w:tmpl w:val="7B34E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E27A4"/>
    <w:multiLevelType w:val="multilevel"/>
    <w:tmpl w:val="F26E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97BA6"/>
    <w:multiLevelType w:val="multilevel"/>
    <w:tmpl w:val="AAC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802AD"/>
    <w:multiLevelType w:val="hybridMultilevel"/>
    <w:tmpl w:val="4F7E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876DC5"/>
    <w:multiLevelType w:val="hybridMultilevel"/>
    <w:tmpl w:val="34F4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4B0CCC"/>
    <w:multiLevelType w:val="multilevel"/>
    <w:tmpl w:val="652E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75D56"/>
    <w:multiLevelType w:val="multilevel"/>
    <w:tmpl w:val="DE0028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31030"/>
    <w:multiLevelType w:val="multilevel"/>
    <w:tmpl w:val="6D9E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A96D1B"/>
    <w:multiLevelType w:val="multilevel"/>
    <w:tmpl w:val="EB2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7"/>
  </w:num>
  <w:num w:numId="5">
    <w:abstractNumId w:val="8"/>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6C"/>
    <w:rsid w:val="00002020"/>
    <w:rsid w:val="000038A6"/>
    <w:rsid w:val="000050E9"/>
    <w:rsid w:val="00012045"/>
    <w:rsid w:val="00012AD9"/>
    <w:rsid w:val="00014EC6"/>
    <w:rsid w:val="00026C2F"/>
    <w:rsid w:val="00033362"/>
    <w:rsid w:val="00034DDB"/>
    <w:rsid w:val="00040812"/>
    <w:rsid w:val="000432A9"/>
    <w:rsid w:val="00043585"/>
    <w:rsid w:val="000445EC"/>
    <w:rsid w:val="000446CD"/>
    <w:rsid w:val="00044F2D"/>
    <w:rsid w:val="00045753"/>
    <w:rsid w:val="000473DB"/>
    <w:rsid w:val="000500C3"/>
    <w:rsid w:val="00051951"/>
    <w:rsid w:val="00054F4D"/>
    <w:rsid w:val="00055F33"/>
    <w:rsid w:val="000571BD"/>
    <w:rsid w:val="0006092E"/>
    <w:rsid w:val="0006466D"/>
    <w:rsid w:val="00064FB3"/>
    <w:rsid w:val="00065323"/>
    <w:rsid w:val="00065BB3"/>
    <w:rsid w:val="00066F02"/>
    <w:rsid w:val="00067D4C"/>
    <w:rsid w:val="0007011F"/>
    <w:rsid w:val="00070847"/>
    <w:rsid w:val="00071A8E"/>
    <w:rsid w:val="000754F6"/>
    <w:rsid w:val="00080528"/>
    <w:rsid w:val="00082FCE"/>
    <w:rsid w:val="00085288"/>
    <w:rsid w:val="00090B07"/>
    <w:rsid w:val="000912BA"/>
    <w:rsid w:val="00091B19"/>
    <w:rsid w:val="00095B73"/>
    <w:rsid w:val="000A1060"/>
    <w:rsid w:val="000A1935"/>
    <w:rsid w:val="000A2466"/>
    <w:rsid w:val="000B13D8"/>
    <w:rsid w:val="000B252D"/>
    <w:rsid w:val="000B4B18"/>
    <w:rsid w:val="000B4BA4"/>
    <w:rsid w:val="000B57D2"/>
    <w:rsid w:val="000B7B66"/>
    <w:rsid w:val="000C19C1"/>
    <w:rsid w:val="000C20B7"/>
    <w:rsid w:val="000C7E42"/>
    <w:rsid w:val="000D4577"/>
    <w:rsid w:val="000D4BC5"/>
    <w:rsid w:val="000D5B56"/>
    <w:rsid w:val="000D6BAD"/>
    <w:rsid w:val="000E019B"/>
    <w:rsid w:val="000E140B"/>
    <w:rsid w:val="000E1A90"/>
    <w:rsid w:val="000E29F2"/>
    <w:rsid w:val="000E4300"/>
    <w:rsid w:val="000E470A"/>
    <w:rsid w:val="000E4EC8"/>
    <w:rsid w:val="000E61B9"/>
    <w:rsid w:val="000E7881"/>
    <w:rsid w:val="000F15DF"/>
    <w:rsid w:val="000F212A"/>
    <w:rsid w:val="000F2B6A"/>
    <w:rsid w:val="000F3CA9"/>
    <w:rsid w:val="000F525B"/>
    <w:rsid w:val="00101059"/>
    <w:rsid w:val="0010188E"/>
    <w:rsid w:val="00101FB6"/>
    <w:rsid w:val="00104350"/>
    <w:rsid w:val="001072A2"/>
    <w:rsid w:val="00110957"/>
    <w:rsid w:val="00116FC9"/>
    <w:rsid w:val="00121D6D"/>
    <w:rsid w:val="0012237F"/>
    <w:rsid w:val="00122C71"/>
    <w:rsid w:val="0012573B"/>
    <w:rsid w:val="001261DC"/>
    <w:rsid w:val="00127A70"/>
    <w:rsid w:val="00127AA2"/>
    <w:rsid w:val="001320D9"/>
    <w:rsid w:val="00133165"/>
    <w:rsid w:val="001331C8"/>
    <w:rsid w:val="001337FD"/>
    <w:rsid w:val="001340D8"/>
    <w:rsid w:val="00134420"/>
    <w:rsid w:val="00141BBB"/>
    <w:rsid w:val="00142F98"/>
    <w:rsid w:val="00143BD4"/>
    <w:rsid w:val="00143EA1"/>
    <w:rsid w:val="00146A08"/>
    <w:rsid w:val="00147A68"/>
    <w:rsid w:val="00152235"/>
    <w:rsid w:val="00152BC3"/>
    <w:rsid w:val="001546EA"/>
    <w:rsid w:val="00166180"/>
    <w:rsid w:val="00166191"/>
    <w:rsid w:val="0016751B"/>
    <w:rsid w:val="00167571"/>
    <w:rsid w:val="00170464"/>
    <w:rsid w:val="00171ED5"/>
    <w:rsid w:val="001749A7"/>
    <w:rsid w:val="001749C4"/>
    <w:rsid w:val="00175638"/>
    <w:rsid w:val="00181664"/>
    <w:rsid w:val="00184B2C"/>
    <w:rsid w:val="00187282"/>
    <w:rsid w:val="00190A85"/>
    <w:rsid w:val="00190B89"/>
    <w:rsid w:val="0019554F"/>
    <w:rsid w:val="001A0818"/>
    <w:rsid w:val="001A6D03"/>
    <w:rsid w:val="001A7CCE"/>
    <w:rsid w:val="001B0977"/>
    <w:rsid w:val="001B2572"/>
    <w:rsid w:val="001B3171"/>
    <w:rsid w:val="001C005C"/>
    <w:rsid w:val="001C0841"/>
    <w:rsid w:val="001C0E38"/>
    <w:rsid w:val="001C1240"/>
    <w:rsid w:val="001C2971"/>
    <w:rsid w:val="001C72BC"/>
    <w:rsid w:val="001C7468"/>
    <w:rsid w:val="001D08A1"/>
    <w:rsid w:val="001D0CDB"/>
    <w:rsid w:val="001D23AB"/>
    <w:rsid w:val="001D3A08"/>
    <w:rsid w:val="001D3D13"/>
    <w:rsid w:val="001D50B9"/>
    <w:rsid w:val="001D58EA"/>
    <w:rsid w:val="001D5EFC"/>
    <w:rsid w:val="001D643F"/>
    <w:rsid w:val="001D6F1D"/>
    <w:rsid w:val="001D771E"/>
    <w:rsid w:val="001E09D8"/>
    <w:rsid w:val="001E4A01"/>
    <w:rsid w:val="001F18DD"/>
    <w:rsid w:val="001F2B82"/>
    <w:rsid w:val="001F431A"/>
    <w:rsid w:val="001F48D5"/>
    <w:rsid w:val="001F5191"/>
    <w:rsid w:val="001F5451"/>
    <w:rsid w:val="00200304"/>
    <w:rsid w:val="0020194E"/>
    <w:rsid w:val="002023B2"/>
    <w:rsid w:val="00203513"/>
    <w:rsid w:val="00204B2E"/>
    <w:rsid w:val="00207542"/>
    <w:rsid w:val="00213323"/>
    <w:rsid w:val="002134E2"/>
    <w:rsid w:val="0021552F"/>
    <w:rsid w:val="00216088"/>
    <w:rsid w:val="002259AD"/>
    <w:rsid w:val="002264B1"/>
    <w:rsid w:val="00226E0D"/>
    <w:rsid w:val="002305EF"/>
    <w:rsid w:val="002322AD"/>
    <w:rsid w:val="00234EC1"/>
    <w:rsid w:val="00235CB2"/>
    <w:rsid w:val="00240C7F"/>
    <w:rsid w:val="00243761"/>
    <w:rsid w:val="00247329"/>
    <w:rsid w:val="00251322"/>
    <w:rsid w:val="002522EC"/>
    <w:rsid w:val="0025295E"/>
    <w:rsid w:val="0025536A"/>
    <w:rsid w:val="00256E53"/>
    <w:rsid w:val="00262307"/>
    <w:rsid w:val="002649F3"/>
    <w:rsid w:val="002658B1"/>
    <w:rsid w:val="002660CC"/>
    <w:rsid w:val="002670BD"/>
    <w:rsid w:val="00270DDC"/>
    <w:rsid w:val="002724AD"/>
    <w:rsid w:val="00273902"/>
    <w:rsid w:val="002741BD"/>
    <w:rsid w:val="002753E2"/>
    <w:rsid w:val="00275EF0"/>
    <w:rsid w:val="002769DB"/>
    <w:rsid w:val="002772E5"/>
    <w:rsid w:val="0027742C"/>
    <w:rsid w:val="0027775F"/>
    <w:rsid w:val="00282A5E"/>
    <w:rsid w:val="00284C74"/>
    <w:rsid w:val="002877AD"/>
    <w:rsid w:val="00290CD6"/>
    <w:rsid w:val="002938AC"/>
    <w:rsid w:val="002A400B"/>
    <w:rsid w:val="002B174F"/>
    <w:rsid w:val="002B1896"/>
    <w:rsid w:val="002B2966"/>
    <w:rsid w:val="002B35EF"/>
    <w:rsid w:val="002C0F8D"/>
    <w:rsid w:val="002C136A"/>
    <w:rsid w:val="002C1BBC"/>
    <w:rsid w:val="002C2172"/>
    <w:rsid w:val="002C49B8"/>
    <w:rsid w:val="002D5866"/>
    <w:rsid w:val="002D6005"/>
    <w:rsid w:val="002D7ECC"/>
    <w:rsid w:val="002E0430"/>
    <w:rsid w:val="002E2014"/>
    <w:rsid w:val="002E3018"/>
    <w:rsid w:val="002E37BB"/>
    <w:rsid w:val="002E6D67"/>
    <w:rsid w:val="002E7D90"/>
    <w:rsid w:val="002F04E7"/>
    <w:rsid w:val="002F60B8"/>
    <w:rsid w:val="002F7602"/>
    <w:rsid w:val="00300572"/>
    <w:rsid w:val="00301A33"/>
    <w:rsid w:val="00302716"/>
    <w:rsid w:val="00305EC9"/>
    <w:rsid w:val="00314091"/>
    <w:rsid w:val="0031478F"/>
    <w:rsid w:val="0031494B"/>
    <w:rsid w:val="00317EC5"/>
    <w:rsid w:val="00320AA4"/>
    <w:rsid w:val="00321A17"/>
    <w:rsid w:val="003220D3"/>
    <w:rsid w:val="0032273A"/>
    <w:rsid w:val="00324529"/>
    <w:rsid w:val="00324A41"/>
    <w:rsid w:val="00326225"/>
    <w:rsid w:val="0033075F"/>
    <w:rsid w:val="00331372"/>
    <w:rsid w:val="003332EF"/>
    <w:rsid w:val="00334413"/>
    <w:rsid w:val="003350BF"/>
    <w:rsid w:val="00335456"/>
    <w:rsid w:val="00335C54"/>
    <w:rsid w:val="00343B12"/>
    <w:rsid w:val="00344818"/>
    <w:rsid w:val="00344DAF"/>
    <w:rsid w:val="00345B83"/>
    <w:rsid w:val="0034715F"/>
    <w:rsid w:val="00350770"/>
    <w:rsid w:val="0035536C"/>
    <w:rsid w:val="00360424"/>
    <w:rsid w:val="0036088A"/>
    <w:rsid w:val="0036106B"/>
    <w:rsid w:val="00362DE3"/>
    <w:rsid w:val="0036498D"/>
    <w:rsid w:val="003654F8"/>
    <w:rsid w:val="003660F9"/>
    <w:rsid w:val="00366372"/>
    <w:rsid w:val="0037010E"/>
    <w:rsid w:val="003730F6"/>
    <w:rsid w:val="00376114"/>
    <w:rsid w:val="00376D9C"/>
    <w:rsid w:val="00380016"/>
    <w:rsid w:val="00380142"/>
    <w:rsid w:val="00380345"/>
    <w:rsid w:val="00386626"/>
    <w:rsid w:val="00386674"/>
    <w:rsid w:val="003908EB"/>
    <w:rsid w:val="00392DEE"/>
    <w:rsid w:val="00393D43"/>
    <w:rsid w:val="00396371"/>
    <w:rsid w:val="00397411"/>
    <w:rsid w:val="003A12BD"/>
    <w:rsid w:val="003A45BB"/>
    <w:rsid w:val="003A7C16"/>
    <w:rsid w:val="003B066B"/>
    <w:rsid w:val="003B2C76"/>
    <w:rsid w:val="003B495D"/>
    <w:rsid w:val="003B5BBB"/>
    <w:rsid w:val="003C0E2B"/>
    <w:rsid w:val="003C6BA9"/>
    <w:rsid w:val="003D0D51"/>
    <w:rsid w:val="003D2920"/>
    <w:rsid w:val="003D4AAF"/>
    <w:rsid w:val="003D62AA"/>
    <w:rsid w:val="003E1544"/>
    <w:rsid w:val="003E1795"/>
    <w:rsid w:val="003E34FC"/>
    <w:rsid w:val="003E3F42"/>
    <w:rsid w:val="003E429E"/>
    <w:rsid w:val="003E5ED6"/>
    <w:rsid w:val="003F0BB6"/>
    <w:rsid w:val="003F154F"/>
    <w:rsid w:val="003F2120"/>
    <w:rsid w:val="003F2846"/>
    <w:rsid w:val="003F3885"/>
    <w:rsid w:val="003F497B"/>
    <w:rsid w:val="003F565C"/>
    <w:rsid w:val="003F5797"/>
    <w:rsid w:val="00400FFD"/>
    <w:rsid w:val="00401E02"/>
    <w:rsid w:val="00401F08"/>
    <w:rsid w:val="00402637"/>
    <w:rsid w:val="004051E7"/>
    <w:rsid w:val="00405E92"/>
    <w:rsid w:val="00407697"/>
    <w:rsid w:val="00407FDC"/>
    <w:rsid w:val="004105C2"/>
    <w:rsid w:val="00411DFE"/>
    <w:rsid w:val="004123E7"/>
    <w:rsid w:val="0041277E"/>
    <w:rsid w:val="00413DE7"/>
    <w:rsid w:val="0041426F"/>
    <w:rsid w:val="004178D1"/>
    <w:rsid w:val="00417A94"/>
    <w:rsid w:val="00420491"/>
    <w:rsid w:val="00421276"/>
    <w:rsid w:val="0042401D"/>
    <w:rsid w:val="0042631A"/>
    <w:rsid w:val="00431D1D"/>
    <w:rsid w:val="004413FA"/>
    <w:rsid w:val="00442EFC"/>
    <w:rsid w:val="00443096"/>
    <w:rsid w:val="0044337C"/>
    <w:rsid w:val="0044382F"/>
    <w:rsid w:val="00443DB7"/>
    <w:rsid w:val="00444623"/>
    <w:rsid w:val="00450FB0"/>
    <w:rsid w:val="0045267F"/>
    <w:rsid w:val="004532E3"/>
    <w:rsid w:val="0045632D"/>
    <w:rsid w:val="004574D3"/>
    <w:rsid w:val="0046081C"/>
    <w:rsid w:val="00462A24"/>
    <w:rsid w:val="0046487E"/>
    <w:rsid w:val="004662B5"/>
    <w:rsid w:val="00471F41"/>
    <w:rsid w:val="00472616"/>
    <w:rsid w:val="0047296C"/>
    <w:rsid w:val="00476954"/>
    <w:rsid w:val="004770B4"/>
    <w:rsid w:val="00481785"/>
    <w:rsid w:val="00485319"/>
    <w:rsid w:val="00485DB9"/>
    <w:rsid w:val="00490D51"/>
    <w:rsid w:val="00492565"/>
    <w:rsid w:val="00495CFE"/>
    <w:rsid w:val="004A28A2"/>
    <w:rsid w:val="004A4A50"/>
    <w:rsid w:val="004A6634"/>
    <w:rsid w:val="004B0AF1"/>
    <w:rsid w:val="004B3FF8"/>
    <w:rsid w:val="004B4B35"/>
    <w:rsid w:val="004C0114"/>
    <w:rsid w:val="004C1860"/>
    <w:rsid w:val="004C2F41"/>
    <w:rsid w:val="004C5B32"/>
    <w:rsid w:val="004C68E1"/>
    <w:rsid w:val="004C7881"/>
    <w:rsid w:val="004D0CFD"/>
    <w:rsid w:val="004D2D55"/>
    <w:rsid w:val="004D39D4"/>
    <w:rsid w:val="004D5D19"/>
    <w:rsid w:val="004E2234"/>
    <w:rsid w:val="004E2A2F"/>
    <w:rsid w:val="004E47FD"/>
    <w:rsid w:val="004E5146"/>
    <w:rsid w:val="004E6998"/>
    <w:rsid w:val="004F0DB1"/>
    <w:rsid w:val="004F43F7"/>
    <w:rsid w:val="004F56FF"/>
    <w:rsid w:val="004F6299"/>
    <w:rsid w:val="0050216F"/>
    <w:rsid w:val="0051155F"/>
    <w:rsid w:val="005124BA"/>
    <w:rsid w:val="005128C6"/>
    <w:rsid w:val="005129D6"/>
    <w:rsid w:val="00514763"/>
    <w:rsid w:val="00515FB2"/>
    <w:rsid w:val="00517F6C"/>
    <w:rsid w:val="00523460"/>
    <w:rsid w:val="00526B6C"/>
    <w:rsid w:val="00526DC3"/>
    <w:rsid w:val="00531151"/>
    <w:rsid w:val="00531E25"/>
    <w:rsid w:val="005323D6"/>
    <w:rsid w:val="00532F58"/>
    <w:rsid w:val="00535DE9"/>
    <w:rsid w:val="005361F6"/>
    <w:rsid w:val="0054450B"/>
    <w:rsid w:val="00552859"/>
    <w:rsid w:val="00560877"/>
    <w:rsid w:val="00561584"/>
    <w:rsid w:val="00561D5D"/>
    <w:rsid w:val="0056346F"/>
    <w:rsid w:val="00564432"/>
    <w:rsid w:val="005677DD"/>
    <w:rsid w:val="0057024A"/>
    <w:rsid w:val="00570AA5"/>
    <w:rsid w:val="005725B0"/>
    <w:rsid w:val="00572A62"/>
    <w:rsid w:val="00573359"/>
    <w:rsid w:val="0058008F"/>
    <w:rsid w:val="00583A55"/>
    <w:rsid w:val="005840EA"/>
    <w:rsid w:val="00585F24"/>
    <w:rsid w:val="00586145"/>
    <w:rsid w:val="00590F8D"/>
    <w:rsid w:val="00591D77"/>
    <w:rsid w:val="00593DA4"/>
    <w:rsid w:val="00594F7F"/>
    <w:rsid w:val="00597729"/>
    <w:rsid w:val="00597F8C"/>
    <w:rsid w:val="005A264C"/>
    <w:rsid w:val="005A3CEC"/>
    <w:rsid w:val="005B1187"/>
    <w:rsid w:val="005B3B87"/>
    <w:rsid w:val="005B62D5"/>
    <w:rsid w:val="005B72E7"/>
    <w:rsid w:val="005B7D7A"/>
    <w:rsid w:val="005C24F9"/>
    <w:rsid w:val="005C2B35"/>
    <w:rsid w:val="005C3ABF"/>
    <w:rsid w:val="005C5DE4"/>
    <w:rsid w:val="005C5EFC"/>
    <w:rsid w:val="005D056F"/>
    <w:rsid w:val="005D13BF"/>
    <w:rsid w:val="005D3756"/>
    <w:rsid w:val="005D749D"/>
    <w:rsid w:val="005D7C97"/>
    <w:rsid w:val="005E0E3D"/>
    <w:rsid w:val="005E1C3C"/>
    <w:rsid w:val="005E2CD8"/>
    <w:rsid w:val="005F0C82"/>
    <w:rsid w:val="005F1CF0"/>
    <w:rsid w:val="005F330C"/>
    <w:rsid w:val="005F3BE2"/>
    <w:rsid w:val="005F4C7A"/>
    <w:rsid w:val="005F7D45"/>
    <w:rsid w:val="006011AC"/>
    <w:rsid w:val="006024F5"/>
    <w:rsid w:val="00604E62"/>
    <w:rsid w:val="00611F5C"/>
    <w:rsid w:val="0061227D"/>
    <w:rsid w:val="00613BEE"/>
    <w:rsid w:val="00614BDE"/>
    <w:rsid w:val="00614D76"/>
    <w:rsid w:val="00616C45"/>
    <w:rsid w:val="00617474"/>
    <w:rsid w:val="00617F0B"/>
    <w:rsid w:val="00621722"/>
    <w:rsid w:val="006223EF"/>
    <w:rsid w:val="00624150"/>
    <w:rsid w:val="006241EE"/>
    <w:rsid w:val="006255B8"/>
    <w:rsid w:val="00625837"/>
    <w:rsid w:val="00626B63"/>
    <w:rsid w:val="00627A9C"/>
    <w:rsid w:val="0063050C"/>
    <w:rsid w:val="00634725"/>
    <w:rsid w:val="00635643"/>
    <w:rsid w:val="006374F6"/>
    <w:rsid w:val="006424E5"/>
    <w:rsid w:val="0064770F"/>
    <w:rsid w:val="006537C1"/>
    <w:rsid w:val="00653EC5"/>
    <w:rsid w:val="00655EA1"/>
    <w:rsid w:val="0065726A"/>
    <w:rsid w:val="00663EC5"/>
    <w:rsid w:val="00664D5E"/>
    <w:rsid w:val="00667807"/>
    <w:rsid w:val="006716FB"/>
    <w:rsid w:val="006732BA"/>
    <w:rsid w:val="00674D07"/>
    <w:rsid w:val="00676C75"/>
    <w:rsid w:val="006829CD"/>
    <w:rsid w:val="006830AE"/>
    <w:rsid w:val="00684DE9"/>
    <w:rsid w:val="00684F08"/>
    <w:rsid w:val="006867E3"/>
    <w:rsid w:val="006905CD"/>
    <w:rsid w:val="00690E28"/>
    <w:rsid w:val="00691C5B"/>
    <w:rsid w:val="006932F7"/>
    <w:rsid w:val="006938FF"/>
    <w:rsid w:val="006958EF"/>
    <w:rsid w:val="00697001"/>
    <w:rsid w:val="006A0E80"/>
    <w:rsid w:val="006A3E7E"/>
    <w:rsid w:val="006A675B"/>
    <w:rsid w:val="006A6E03"/>
    <w:rsid w:val="006B2C0E"/>
    <w:rsid w:val="006B340A"/>
    <w:rsid w:val="006B34BA"/>
    <w:rsid w:val="006B4AAF"/>
    <w:rsid w:val="006C1B56"/>
    <w:rsid w:val="006C2F3D"/>
    <w:rsid w:val="006C4803"/>
    <w:rsid w:val="006C6631"/>
    <w:rsid w:val="006C69DB"/>
    <w:rsid w:val="006C6E51"/>
    <w:rsid w:val="006D00DF"/>
    <w:rsid w:val="006D074B"/>
    <w:rsid w:val="006D213A"/>
    <w:rsid w:val="006D2364"/>
    <w:rsid w:val="006D6527"/>
    <w:rsid w:val="006D6B7F"/>
    <w:rsid w:val="006E06D9"/>
    <w:rsid w:val="006E1FFA"/>
    <w:rsid w:val="006F17C3"/>
    <w:rsid w:val="006F21BE"/>
    <w:rsid w:val="006F2E69"/>
    <w:rsid w:val="006F6923"/>
    <w:rsid w:val="00703ABB"/>
    <w:rsid w:val="00705738"/>
    <w:rsid w:val="00705F11"/>
    <w:rsid w:val="00706F1A"/>
    <w:rsid w:val="00707899"/>
    <w:rsid w:val="00710116"/>
    <w:rsid w:val="00711C82"/>
    <w:rsid w:val="0071307B"/>
    <w:rsid w:val="00713120"/>
    <w:rsid w:val="00713756"/>
    <w:rsid w:val="00714C22"/>
    <w:rsid w:val="007153FC"/>
    <w:rsid w:val="00720193"/>
    <w:rsid w:val="00721936"/>
    <w:rsid w:val="0072271D"/>
    <w:rsid w:val="007250BD"/>
    <w:rsid w:val="00725536"/>
    <w:rsid w:val="00733FBE"/>
    <w:rsid w:val="00736F9B"/>
    <w:rsid w:val="007427A6"/>
    <w:rsid w:val="00742B8C"/>
    <w:rsid w:val="007458CA"/>
    <w:rsid w:val="00745C39"/>
    <w:rsid w:val="00747C03"/>
    <w:rsid w:val="00747F2B"/>
    <w:rsid w:val="00753616"/>
    <w:rsid w:val="0075423C"/>
    <w:rsid w:val="00756A4E"/>
    <w:rsid w:val="00760421"/>
    <w:rsid w:val="00760E68"/>
    <w:rsid w:val="007617C5"/>
    <w:rsid w:val="007620B1"/>
    <w:rsid w:val="007629F1"/>
    <w:rsid w:val="00762AF2"/>
    <w:rsid w:val="007645B4"/>
    <w:rsid w:val="00764D69"/>
    <w:rsid w:val="00765F9A"/>
    <w:rsid w:val="00766D17"/>
    <w:rsid w:val="00766F9E"/>
    <w:rsid w:val="007721F1"/>
    <w:rsid w:val="0077709C"/>
    <w:rsid w:val="0078124D"/>
    <w:rsid w:val="007819A5"/>
    <w:rsid w:val="00783283"/>
    <w:rsid w:val="0078497B"/>
    <w:rsid w:val="00785EA0"/>
    <w:rsid w:val="007901E7"/>
    <w:rsid w:val="00790A69"/>
    <w:rsid w:val="007924D1"/>
    <w:rsid w:val="00792CA4"/>
    <w:rsid w:val="00792F84"/>
    <w:rsid w:val="0079455B"/>
    <w:rsid w:val="00794BB3"/>
    <w:rsid w:val="007967B9"/>
    <w:rsid w:val="00797645"/>
    <w:rsid w:val="007A049F"/>
    <w:rsid w:val="007A2A16"/>
    <w:rsid w:val="007A358C"/>
    <w:rsid w:val="007B0806"/>
    <w:rsid w:val="007B1F7B"/>
    <w:rsid w:val="007B2D94"/>
    <w:rsid w:val="007B2FFB"/>
    <w:rsid w:val="007B3578"/>
    <w:rsid w:val="007B480F"/>
    <w:rsid w:val="007B5972"/>
    <w:rsid w:val="007B60C8"/>
    <w:rsid w:val="007B6138"/>
    <w:rsid w:val="007B7F0D"/>
    <w:rsid w:val="007C0D3C"/>
    <w:rsid w:val="007C4597"/>
    <w:rsid w:val="007C7960"/>
    <w:rsid w:val="007D0401"/>
    <w:rsid w:val="007D0D79"/>
    <w:rsid w:val="007D18D1"/>
    <w:rsid w:val="007D7234"/>
    <w:rsid w:val="007E0F5E"/>
    <w:rsid w:val="007E18F8"/>
    <w:rsid w:val="007E2507"/>
    <w:rsid w:val="007E497B"/>
    <w:rsid w:val="007E4A50"/>
    <w:rsid w:val="007E659F"/>
    <w:rsid w:val="007E6AC2"/>
    <w:rsid w:val="007E7333"/>
    <w:rsid w:val="007F48AB"/>
    <w:rsid w:val="00802126"/>
    <w:rsid w:val="00802CB3"/>
    <w:rsid w:val="0080504A"/>
    <w:rsid w:val="0081171F"/>
    <w:rsid w:val="00812EDF"/>
    <w:rsid w:val="008131CA"/>
    <w:rsid w:val="00813DC3"/>
    <w:rsid w:val="00816EA1"/>
    <w:rsid w:val="008170A0"/>
    <w:rsid w:val="00821019"/>
    <w:rsid w:val="00822D82"/>
    <w:rsid w:val="0082356E"/>
    <w:rsid w:val="0082781A"/>
    <w:rsid w:val="00834889"/>
    <w:rsid w:val="00837B15"/>
    <w:rsid w:val="008413C7"/>
    <w:rsid w:val="00851C7E"/>
    <w:rsid w:val="00855205"/>
    <w:rsid w:val="00855C4C"/>
    <w:rsid w:val="00857FFB"/>
    <w:rsid w:val="00865FD7"/>
    <w:rsid w:val="00866F68"/>
    <w:rsid w:val="00867E14"/>
    <w:rsid w:val="00870275"/>
    <w:rsid w:val="00870D29"/>
    <w:rsid w:val="00871037"/>
    <w:rsid w:val="00871247"/>
    <w:rsid w:val="008748D3"/>
    <w:rsid w:val="00874A8C"/>
    <w:rsid w:val="008762AB"/>
    <w:rsid w:val="00880CB8"/>
    <w:rsid w:val="00881C1A"/>
    <w:rsid w:val="0088214C"/>
    <w:rsid w:val="00884D26"/>
    <w:rsid w:val="00887DB5"/>
    <w:rsid w:val="00890922"/>
    <w:rsid w:val="00892DDA"/>
    <w:rsid w:val="00892F22"/>
    <w:rsid w:val="0089612B"/>
    <w:rsid w:val="008A4398"/>
    <w:rsid w:val="008A786B"/>
    <w:rsid w:val="008B14CA"/>
    <w:rsid w:val="008B1574"/>
    <w:rsid w:val="008B72BC"/>
    <w:rsid w:val="008C1F13"/>
    <w:rsid w:val="008C20FD"/>
    <w:rsid w:val="008C56B4"/>
    <w:rsid w:val="008C603D"/>
    <w:rsid w:val="008D317A"/>
    <w:rsid w:val="008D3956"/>
    <w:rsid w:val="008D4323"/>
    <w:rsid w:val="008D6381"/>
    <w:rsid w:val="008E10B2"/>
    <w:rsid w:val="008E3D90"/>
    <w:rsid w:val="008E608A"/>
    <w:rsid w:val="008E6DA3"/>
    <w:rsid w:val="008F05E5"/>
    <w:rsid w:val="008F129B"/>
    <w:rsid w:val="008F337C"/>
    <w:rsid w:val="008F3A85"/>
    <w:rsid w:val="009010CE"/>
    <w:rsid w:val="00901F5A"/>
    <w:rsid w:val="009026C6"/>
    <w:rsid w:val="00902D70"/>
    <w:rsid w:val="00905032"/>
    <w:rsid w:val="0090545B"/>
    <w:rsid w:val="00905AEF"/>
    <w:rsid w:val="00906695"/>
    <w:rsid w:val="00906D03"/>
    <w:rsid w:val="00907F4D"/>
    <w:rsid w:val="00911021"/>
    <w:rsid w:val="00912801"/>
    <w:rsid w:val="00915136"/>
    <w:rsid w:val="009156DD"/>
    <w:rsid w:val="009159CD"/>
    <w:rsid w:val="009168CF"/>
    <w:rsid w:val="00921781"/>
    <w:rsid w:val="00922A70"/>
    <w:rsid w:val="00923CA2"/>
    <w:rsid w:val="00926BD7"/>
    <w:rsid w:val="00931757"/>
    <w:rsid w:val="009320F7"/>
    <w:rsid w:val="00932BED"/>
    <w:rsid w:val="009370B8"/>
    <w:rsid w:val="00937B8E"/>
    <w:rsid w:val="00941C44"/>
    <w:rsid w:val="00943ECA"/>
    <w:rsid w:val="009451CA"/>
    <w:rsid w:val="00951E39"/>
    <w:rsid w:val="00952D3F"/>
    <w:rsid w:val="00953269"/>
    <w:rsid w:val="00953967"/>
    <w:rsid w:val="00955315"/>
    <w:rsid w:val="00956C1F"/>
    <w:rsid w:val="009626F4"/>
    <w:rsid w:val="00962CEE"/>
    <w:rsid w:val="00965B36"/>
    <w:rsid w:val="009701A5"/>
    <w:rsid w:val="009701EF"/>
    <w:rsid w:val="00972346"/>
    <w:rsid w:val="00975FB7"/>
    <w:rsid w:val="00984398"/>
    <w:rsid w:val="00985619"/>
    <w:rsid w:val="00986B2C"/>
    <w:rsid w:val="00986ED8"/>
    <w:rsid w:val="00990486"/>
    <w:rsid w:val="00991171"/>
    <w:rsid w:val="00992360"/>
    <w:rsid w:val="00995661"/>
    <w:rsid w:val="00995AEA"/>
    <w:rsid w:val="00996A10"/>
    <w:rsid w:val="009971A2"/>
    <w:rsid w:val="009976D4"/>
    <w:rsid w:val="009A1C20"/>
    <w:rsid w:val="009A22AC"/>
    <w:rsid w:val="009A3C88"/>
    <w:rsid w:val="009A4719"/>
    <w:rsid w:val="009A578D"/>
    <w:rsid w:val="009A6258"/>
    <w:rsid w:val="009A7B2A"/>
    <w:rsid w:val="009B1A74"/>
    <w:rsid w:val="009B29EB"/>
    <w:rsid w:val="009B59D4"/>
    <w:rsid w:val="009C04EA"/>
    <w:rsid w:val="009C0C16"/>
    <w:rsid w:val="009C0CB0"/>
    <w:rsid w:val="009D0CD5"/>
    <w:rsid w:val="009D437F"/>
    <w:rsid w:val="009D7F19"/>
    <w:rsid w:val="009E5941"/>
    <w:rsid w:val="009E601C"/>
    <w:rsid w:val="009E60E8"/>
    <w:rsid w:val="009E6433"/>
    <w:rsid w:val="009F1C20"/>
    <w:rsid w:val="009F308E"/>
    <w:rsid w:val="009F3911"/>
    <w:rsid w:val="009F3D1A"/>
    <w:rsid w:val="00A02EAB"/>
    <w:rsid w:val="00A05906"/>
    <w:rsid w:val="00A07868"/>
    <w:rsid w:val="00A106BD"/>
    <w:rsid w:val="00A12EC6"/>
    <w:rsid w:val="00A13ED8"/>
    <w:rsid w:val="00A1519C"/>
    <w:rsid w:val="00A156AA"/>
    <w:rsid w:val="00A16285"/>
    <w:rsid w:val="00A20E22"/>
    <w:rsid w:val="00A21396"/>
    <w:rsid w:val="00A228CA"/>
    <w:rsid w:val="00A2646B"/>
    <w:rsid w:val="00A266CE"/>
    <w:rsid w:val="00A373CB"/>
    <w:rsid w:val="00A401C4"/>
    <w:rsid w:val="00A40A3C"/>
    <w:rsid w:val="00A45798"/>
    <w:rsid w:val="00A465EC"/>
    <w:rsid w:val="00A53BDF"/>
    <w:rsid w:val="00A65436"/>
    <w:rsid w:val="00A67C65"/>
    <w:rsid w:val="00A72383"/>
    <w:rsid w:val="00A73FD0"/>
    <w:rsid w:val="00A75E1B"/>
    <w:rsid w:val="00A77A49"/>
    <w:rsid w:val="00A80DFE"/>
    <w:rsid w:val="00A81706"/>
    <w:rsid w:val="00A832CC"/>
    <w:rsid w:val="00A83C40"/>
    <w:rsid w:val="00A8422E"/>
    <w:rsid w:val="00A870F0"/>
    <w:rsid w:val="00A95CC5"/>
    <w:rsid w:val="00A96CCD"/>
    <w:rsid w:val="00AA2AA8"/>
    <w:rsid w:val="00AA31A6"/>
    <w:rsid w:val="00AA4105"/>
    <w:rsid w:val="00AA5F14"/>
    <w:rsid w:val="00AB30AB"/>
    <w:rsid w:val="00AB3C48"/>
    <w:rsid w:val="00AB5B2C"/>
    <w:rsid w:val="00AB6A00"/>
    <w:rsid w:val="00AC2661"/>
    <w:rsid w:val="00AC4754"/>
    <w:rsid w:val="00AC53F0"/>
    <w:rsid w:val="00AC7E62"/>
    <w:rsid w:val="00AD0085"/>
    <w:rsid w:val="00AD0472"/>
    <w:rsid w:val="00AD048A"/>
    <w:rsid w:val="00AD186D"/>
    <w:rsid w:val="00AD1A4B"/>
    <w:rsid w:val="00AD4760"/>
    <w:rsid w:val="00AE4D4E"/>
    <w:rsid w:val="00AE5E70"/>
    <w:rsid w:val="00AE658B"/>
    <w:rsid w:val="00AE6A25"/>
    <w:rsid w:val="00AF052A"/>
    <w:rsid w:val="00AF07FD"/>
    <w:rsid w:val="00AF4632"/>
    <w:rsid w:val="00AF6248"/>
    <w:rsid w:val="00AF7AD4"/>
    <w:rsid w:val="00B02372"/>
    <w:rsid w:val="00B03BFE"/>
    <w:rsid w:val="00B0432F"/>
    <w:rsid w:val="00B12490"/>
    <w:rsid w:val="00B1328C"/>
    <w:rsid w:val="00B14C06"/>
    <w:rsid w:val="00B15398"/>
    <w:rsid w:val="00B15CE5"/>
    <w:rsid w:val="00B17BD4"/>
    <w:rsid w:val="00B20DF8"/>
    <w:rsid w:val="00B21FB3"/>
    <w:rsid w:val="00B26ADC"/>
    <w:rsid w:val="00B31ED6"/>
    <w:rsid w:val="00B333FA"/>
    <w:rsid w:val="00B36F06"/>
    <w:rsid w:val="00B41FD1"/>
    <w:rsid w:val="00B45EF9"/>
    <w:rsid w:val="00B473AB"/>
    <w:rsid w:val="00B50286"/>
    <w:rsid w:val="00B50883"/>
    <w:rsid w:val="00B52DD0"/>
    <w:rsid w:val="00B52E42"/>
    <w:rsid w:val="00B54566"/>
    <w:rsid w:val="00B62169"/>
    <w:rsid w:val="00B635F7"/>
    <w:rsid w:val="00B64170"/>
    <w:rsid w:val="00B65E54"/>
    <w:rsid w:val="00B66705"/>
    <w:rsid w:val="00B70133"/>
    <w:rsid w:val="00B7064A"/>
    <w:rsid w:val="00B7372E"/>
    <w:rsid w:val="00B74BE6"/>
    <w:rsid w:val="00B75A7C"/>
    <w:rsid w:val="00B760DB"/>
    <w:rsid w:val="00B81F80"/>
    <w:rsid w:val="00B86AB1"/>
    <w:rsid w:val="00B95C1D"/>
    <w:rsid w:val="00B95D43"/>
    <w:rsid w:val="00B95E17"/>
    <w:rsid w:val="00B960FE"/>
    <w:rsid w:val="00BA0049"/>
    <w:rsid w:val="00BA09F4"/>
    <w:rsid w:val="00BA0C15"/>
    <w:rsid w:val="00BA38BD"/>
    <w:rsid w:val="00BB072C"/>
    <w:rsid w:val="00BB2BE0"/>
    <w:rsid w:val="00BB2DBE"/>
    <w:rsid w:val="00BB31CB"/>
    <w:rsid w:val="00BB3E44"/>
    <w:rsid w:val="00BB4251"/>
    <w:rsid w:val="00BB5AF9"/>
    <w:rsid w:val="00BB61B7"/>
    <w:rsid w:val="00BB63F2"/>
    <w:rsid w:val="00BB6B58"/>
    <w:rsid w:val="00BC0244"/>
    <w:rsid w:val="00BC1033"/>
    <w:rsid w:val="00BC1105"/>
    <w:rsid w:val="00BC301B"/>
    <w:rsid w:val="00BC41E3"/>
    <w:rsid w:val="00BC7197"/>
    <w:rsid w:val="00BD4539"/>
    <w:rsid w:val="00BD6029"/>
    <w:rsid w:val="00BD6214"/>
    <w:rsid w:val="00BD6527"/>
    <w:rsid w:val="00BD7D6B"/>
    <w:rsid w:val="00BE0AAB"/>
    <w:rsid w:val="00BE43EE"/>
    <w:rsid w:val="00BE4FCF"/>
    <w:rsid w:val="00BE509D"/>
    <w:rsid w:val="00BE5EB1"/>
    <w:rsid w:val="00BE662E"/>
    <w:rsid w:val="00BE6C44"/>
    <w:rsid w:val="00BE707A"/>
    <w:rsid w:val="00BF382A"/>
    <w:rsid w:val="00C007FE"/>
    <w:rsid w:val="00C01127"/>
    <w:rsid w:val="00C031FC"/>
    <w:rsid w:val="00C03336"/>
    <w:rsid w:val="00C03652"/>
    <w:rsid w:val="00C0388E"/>
    <w:rsid w:val="00C03C31"/>
    <w:rsid w:val="00C046FD"/>
    <w:rsid w:val="00C04976"/>
    <w:rsid w:val="00C05ECF"/>
    <w:rsid w:val="00C06794"/>
    <w:rsid w:val="00C10277"/>
    <w:rsid w:val="00C10A86"/>
    <w:rsid w:val="00C15761"/>
    <w:rsid w:val="00C21F49"/>
    <w:rsid w:val="00C2294A"/>
    <w:rsid w:val="00C24442"/>
    <w:rsid w:val="00C31FC4"/>
    <w:rsid w:val="00C35C58"/>
    <w:rsid w:val="00C361A0"/>
    <w:rsid w:val="00C366F8"/>
    <w:rsid w:val="00C36829"/>
    <w:rsid w:val="00C36CA9"/>
    <w:rsid w:val="00C3750C"/>
    <w:rsid w:val="00C37EDE"/>
    <w:rsid w:val="00C450DC"/>
    <w:rsid w:val="00C476A3"/>
    <w:rsid w:val="00C52265"/>
    <w:rsid w:val="00C54391"/>
    <w:rsid w:val="00C54609"/>
    <w:rsid w:val="00C623C2"/>
    <w:rsid w:val="00C63DF3"/>
    <w:rsid w:val="00C652E7"/>
    <w:rsid w:val="00C660CB"/>
    <w:rsid w:val="00C66828"/>
    <w:rsid w:val="00C66D4B"/>
    <w:rsid w:val="00C70CA2"/>
    <w:rsid w:val="00C71287"/>
    <w:rsid w:val="00C715F5"/>
    <w:rsid w:val="00C74010"/>
    <w:rsid w:val="00C801B6"/>
    <w:rsid w:val="00C81080"/>
    <w:rsid w:val="00C83EC0"/>
    <w:rsid w:val="00C8439D"/>
    <w:rsid w:val="00C86B17"/>
    <w:rsid w:val="00C87436"/>
    <w:rsid w:val="00C918DC"/>
    <w:rsid w:val="00C927EE"/>
    <w:rsid w:val="00C93214"/>
    <w:rsid w:val="00C95397"/>
    <w:rsid w:val="00CA19C4"/>
    <w:rsid w:val="00CA2EE5"/>
    <w:rsid w:val="00CA63AE"/>
    <w:rsid w:val="00CA75FC"/>
    <w:rsid w:val="00CA78DE"/>
    <w:rsid w:val="00CB1955"/>
    <w:rsid w:val="00CB2C37"/>
    <w:rsid w:val="00CB54DA"/>
    <w:rsid w:val="00CB6469"/>
    <w:rsid w:val="00CB6BBA"/>
    <w:rsid w:val="00CB6C3F"/>
    <w:rsid w:val="00CC0251"/>
    <w:rsid w:val="00CC049B"/>
    <w:rsid w:val="00CC0CD8"/>
    <w:rsid w:val="00CC1C3E"/>
    <w:rsid w:val="00CC1F1B"/>
    <w:rsid w:val="00CC5A75"/>
    <w:rsid w:val="00CC78EF"/>
    <w:rsid w:val="00CD432E"/>
    <w:rsid w:val="00CD6ABF"/>
    <w:rsid w:val="00CD7118"/>
    <w:rsid w:val="00CE3837"/>
    <w:rsid w:val="00CF0981"/>
    <w:rsid w:val="00CF1194"/>
    <w:rsid w:val="00CF3240"/>
    <w:rsid w:val="00CF43AB"/>
    <w:rsid w:val="00CF5F43"/>
    <w:rsid w:val="00CF6D2E"/>
    <w:rsid w:val="00CF6ED9"/>
    <w:rsid w:val="00CF7C95"/>
    <w:rsid w:val="00D01A24"/>
    <w:rsid w:val="00D0211B"/>
    <w:rsid w:val="00D04C4C"/>
    <w:rsid w:val="00D10982"/>
    <w:rsid w:val="00D13D50"/>
    <w:rsid w:val="00D17433"/>
    <w:rsid w:val="00D17BBD"/>
    <w:rsid w:val="00D17BE6"/>
    <w:rsid w:val="00D20BB1"/>
    <w:rsid w:val="00D218B6"/>
    <w:rsid w:val="00D22087"/>
    <w:rsid w:val="00D26D11"/>
    <w:rsid w:val="00D3326B"/>
    <w:rsid w:val="00D34724"/>
    <w:rsid w:val="00D34A99"/>
    <w:rsid w:val="00D353AC"/>
    <w:rsid w:val="00D355A0"/>
    <w:rsid w:val="00D36C21"/>
    <w:rsid w:val="00D36C3E"/>
    <w:rsid w:val="00D40D14"/>
    <w:rsid w:val="00D41533"/>
    <w:rsid w:val="00D42491"/>
    <w:rsid w:val="00D42A31"/>
    <w:rsid w:val="00D43615"/>
    <w:rsid w:val="00D45A81"/>
    <w:rsid w:val="00D473D7"/>
    <w:rsid w:val="00D513D3"/>
    <w:rsid w:val="00D529CF"/>
    <w:rsid w:val="00D53CBC"/>
    <w:rsid w:val="00D556D1"/>
    <w:rsid w:val="00D55A32"/>
    <w:rsid w:val="00D563CE"/>
    <w:rsid w:val="00D6400C"/>
    <w:rsid w:val="00D667D6"/>
    <w:rsid w:val="00D72881"/>
    <w:rsid w:val="00D744C0"/>
    <w:rsid w:val="00D75233"/>
    <w:rsid w:val="00D7667A"/>
    <w:rsid w:val="00D82ABA"/>
    <w:rsid w:val="00D90EFA"/>
    <w:rsid w:val="00D940EC"/>
    <w:rsid w:val="00DA3077"/>
    <w:rsid w:val="00DA530E"/>
    <w:rsid w:val="00DA578F"/>
    <w:rsid w:val="00DA62EB"/>
    <w:rsid w:val="00DA7540"/>
    <w:rsid w:val="00DA7E78"/>
    <w:rsid w:val="00DB1753"/>
    <w:rsid w:val="00DB27B1"/>
    <w:rsid w:val="00DB29EE"/>
    <w:rsid w:val="00DB3063"/>
    <w:rsid w:val="00DB41BE"/>
    <w:rsid w:val="00DB441B"/>
    <w:rsid w:val="00DB4EC4"/>
    <w:rsid w:val="00DC3186"/>
    <w:rsid w:val="00DC641A"/>
    <w:rsid w:val="00DC742F"/>
    <w:rsid w:val="00DD2EA2"/>
    <w:rsid w:val="00DD3CAB"/>
    <w:rsid w:val="00DD7B66"/>
    <w:rsid w:val="00DE28F4"/>
    <w:rsid w:val="00DE2C41"/>
    <w:rsid w:val="00DE3EF3"/>
    <w:rsid w:val="00DE6F8E"/>
    <w:rsid w:val="00DF086B"/>
    <w:rsid w:val="00DF1A05"/>
    <w:rsid w:val="00DF353C"/>
    <w:rsid w:val="00DF53B8"/>
    <w:rsid w:val="00DF7364"/>
    <w:rsid w:val="00E02EB8"/>
    <w:rsid w:val="00E03168"/>
    <w:rsid w:val="00E031F9"/>
    <w:rsid w:val="00E103E0"/>
    <w:rsid w:val="00E1481A"/>
    <w:rsid w:val="00E15F02"/>
    <w:rsid w:val="00E204DC"/>
    <w:rsid w:val="00E2501A"/>
    <w:rsid w:val="00E266AD"/>
    <w:rsid w:val="00E2707F"/>
    <w:rsid w:val="00E30E28"/>
    <w:rsid w:val="00E33425"/>
    <w:rsid w:val="00E378BC"/>
    <w:rsid w:val="00E40464"/>
    <w:rsid w:val="00E4600F"/>
    <w:rsid w:val="00E5055D"/>
    <w:rsid w:val="00E53278"/>
    <w:rsid w:val="00E54482"/>
    <w:rsid w:val="00E55635"/>
    <w:rsid w:val="00E56E47"/>
    <w:rsid w:val="00E60E7E"/>
    <w:rsid w:val="00E66DA4"/>
    <w:rsid w:val="00E72F34"/>
    <w:rsid w:val="00E73FCD"/>
    <w:rsid w:val="00E75A3D"/>
    <w:rsid w:val="00E77189"/>
    <w:rsid w:val="00E83C1A"/>
    <w:rsid w:val="00E84DAF"/>
    <w:rsid w:val="00E84EAF"/>
    <w:rsid w:val="00E8538E"/>
    <w:rsid w:val="00E86313"/>
    <w:rsid w:val="00E90554"/>
    <w:rsid w:val="00E91C52"/>
    <w:rsid w:val="00E92A8E"/>
    <w:rsid w:val="00E92B42"/>
    <w:rsid w:val="00E93AF3"/>
    <w:rsid w:val="00E977AC"/>
    <w:rsid w:val="00EA09A5"/>
    <w:rsid w:val="00EA4513"/>
    <w:rsid w:val="00EA5DD8"/>
    <w:rsid w:val="00EA726B"/>
    <w:rsid w:val="00EA7532"/>
    <w:rsid w:val="00EA7FCB"/>
    <w:rsid w:val="00EB078F"/>
    <w:rsid w:val="00EB386A"/>
    <w:rsid w:val="00EB66E6"/>
    <w:rsid w:val="00EC01B1"/>
    <w:rsid w:val="00EC0A6E"/>
    <w:rsid w:val="00EC0BE0"/>
    <w:rsid w:val="00EC1DB0"/>
    <w:rsid w:val="00EC33C5"/>
    <w:rsid w:val="00EC6B8E"/>
    <w:rsid w:val="00EC74F5"/>
    <w:rsid w:val="00ED1932"/>
    <w:rsid w:val="00ED339A"/>
    <w:rsid w:val="00ED384F"/>
    <w:rsid w:val="00ED3A0B"/>
    <w:rsid w:val="00ED3DB4"/>
    <w:rsid w:val="00EE152D"/>
    <w:rsid w:val="00EE24A8"/>
    <w:rsid w:val="00EE3057"/>
    <w:rsid w:val="00EE73E2"/>
    <w:rsid w:val="00EE740D"/>
    <w:rsid w:val="00EE786E"/>
    <w:rsid w:val="00EF0AC8"/>
    <w:rsid w:val="00EF32AA"/>
    <w:rsid w:val="00EF5231"/>
    <w:rsid w:val="00EF5FC1"/>
    <w:rsid w:val="00F01CD2"/>
    <w:rsid w:val="00F01D68"/>
    <w:rsid w:val="00F04F3B"/>
    <w:rsid w:val="00F05067"/>
    <w:rsid w:val="00F0557B"/>
    <w:rsid w:val="00F05743"/>
    <w:rsid w:val="00F0595E"/>
    <w:rsid w:val="00F064D4"/>
    <w:rsid w:val="00F11A7B"/>
    <w:rsid w:val="00F1434F"/>
    <w:rsid w:val="00F149BA"/>
    <w:rsid w:val="00F16F54"/>
    <w:rsid w:val="00F178E0"/>
    <w:rsid w:val="00F22C08"/>
    <w:rsid w:val="00F2404C"/>
    <w:rsid w:val="00F25A8B"/>
    <w:rsid w:val="00F25C83"/>
    <w:rsid w:val="00F262D3"/>
    <w:rsid w:val="00F263E3"/>
    <w:rsid w:val="00F31FB3"/>
    <w:rsid w:val="00F34731"/>
    <w:rsid w:val="00F37161"/>
    <w:rsid w:val="00F37964"/>
    <w:rsid w:val="00F406AE"/>
    <w:rsid w:val="00F41885"/>
    <w:rsid w:val="00F43A2F"/>
    <w:rsid w:val="00F462B6"/>
    <w:rsid w:val="00F52988"/>
    <w:rsid w:val="00F5347D"/>
    <w:rsid w:val="00F56208"/>
    <w:rsid w:val="00F57129"/>
    <w:rsid w:val="00F571B4"/>
    <w:rsid w:val="00F65302"/>
    <w:rsid w:val="00F6586B"/>
    <w:rsid w:val="00F67769"/>
    <w:rsid w:val="00F70201"/>
    <w:rsid w:val="00F71402"/>
    <w:rsid w:val="00F71F8F"/>
    <w:rsid w:val="00F728ED"/>
    <w:rsid w:val="00F73679"/>
    <w:rsid w:val="00F739E2"/>
    <w:rsid w:val="00F82872"/>
    <w:rsid w:val="00F828AD"/>
    <w:rsid w:val="00F82F5E"/>
    <w:rsid w:val="00F85540"/>
    <w:rsid w:val="00F86020"/>
    <w:rsid w:val="00F860A3"/>
    <w:rsid w:val="00F86EAC"/>
    <w:rsid w:val="00F874E4"/>
    <w:rsid w:val="00F87E99"/>
    <w:rsid w:val="00F9262A"/>
    <w:rsid w:val="00F97B60"/>
    <w:rsid w:val="00FA138B"/>
    <w:rsid w:val="00FA1E2B"/>
    <w:rsid w:val="00FA2F5C"/>
    <w:rsid w:val="00FA5E8F"/>
    <w:rsid w:val="00FA68D0"/>
    <w:rsid w:val="00FB0CBF"/>
    <w:rsid w:val="00FB5168"/>
    <w:rsid w:val="00FC1791"/>
    <w:rsid w:val="00FC409E"/>
    <w:rsid w:val="00FC5790"/>
    <w:rsid w:val="00FC7B77"/>
    <w:rsid w:val="00FD43DA"/>
    <w:rsid w:val="00FD55FF"/>
    <w:rsid w:val="00FD623B"/>
    <w:rsid w:val="00FD78DE"/>
    <w:rsid w:val="00FE056A"/>
    <w:rsid w:val="00FE07EF"/>
    <w:rsid w:val="00FE12CA"/>
    <w:rsid w:val="00FE2405"/>
    <w:rsid w:val="00FE577C"/>
    <w:rsid w:val="00FE6959"/>
    <w:rsid w:val="00FF0DAD"/>
    <w:rsid w:val="00FF1398"/>
    <w:rsid w:val="00FF6D12"/>
    <w:rsid w:val="00FF7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4A67"/>
  <w15:chartTrackingRefBased/>
  <w15:docId w15:val="{99D040B4-32F7-4554-B31F-54FD5D0A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785"/>
  </w:style>
  <w:style w:type="paragraph" w:styleId="Heading1">
    <w:name w:val="heading 1"/>
    <w:basedOn w:val="Normal"/>
    <w:next w:val="Normal"/>
    <w:link w:val="Heading1Char"/>
    <w:uiPriority w:val="9"/>
    <w:qFormat/>
    <w:rsid w:val="00517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7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7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17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7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7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17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6C"/>
    <w:rPr>
      <w:rFonts w:eastAsiaTheme="majorEastAsia" w:cstheme="majorBidi"/>
      <w:color w:val="272727" w:themeColor="text1" w:themeTint="D8"/>
    </w:rPr>
  </w:style>
  <w:style w:type="paragraph" w:styleId="Title">
    <w:name w:val="Title"/>
    <w:basedOn w:val="Normal"/>
    <w:next w:val="Normal"/>
    <w:link w:val="TitleChar"/>
    <w:uiPriority w:val="10"/>
    <w:qFormat/>
    <w:rsid w:val="00517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6C"/>
    <w:pPr>
      <w:spacing w:before="160"/>
      <w:jc w:val="center"/>
    </w:pPr>
    <w:rPr>
      <w:i/>
      <w:iCs/>
      <w:color w:val="404040" w:themeColor="text1" w:themeTint="BF"/>
    </w:rPr>
  </w:style>
  <w:style w:type="character" w:customStyle="1" w:styleId="QuoteChar">
    <w:name w:val="Quote Char"/>
    <w:basedOn w:val="DefaultParagraphFont"/>
    <w:link w:val="Quote"/>
    <w:uiPriority w:val="29"/>
    <w:rsid w:val="00517F6C"/>
    <w:rPr>
      <w:i/>
      <w:iCs/>
      <w:color w:val="404040" w:themeColor="text1" w:themeTint="BF"/>
    </w:rPr>
  </w:style>
  <w:style w:type="paragraph" w:styleId="ListParagraph">
    <w:name w:val="List Paragraph"/>
    <w:basedOn w:val="Normal"/>
    <w:uiPriority w:val="34"/>
    <w:qFormat/>
    <w:rsid w:val="00517F6C"/>
    <w:pPr>
      <w:ind w:left="720"/>
      <w:contextualSpacing/>
    </w:pPr>
  </w:style>
  <w:style w:type="character" w:styleId="IntenseEmphasis">
    <w:name w:val="Intense Emphasis"/>
    <w:basedOn w:val="DefaultParagraphFont"/>
    <w:uiPriority w:val="21"/>
    <w:qFormat/>
    <w:rsid w:val="00517F6C"/>
    <w:rPr>
      <w:i/>
      <w:iCs/>
      <w:color w:val="0F4761" w:themeColor="accent1" w:themeShade="BF"/>
    </w:rPr>
  </w:style>
  <w:style w:type="paragraph" w:styleId="IntenseQuote">
    <w:name w:val="Intense Quote"/>
    <w:basedOn w:val="Normal"/>
    <w:next w:val="Normal"/>
    <w:link w:val="IntenseQuoteChar"/>
    <w:uiPriority w:val="30"/>
    <w:qFormat/>
    <w:rsid w:val="00517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F6C"/>
    <w:rPr>
      <w:i/>
      <w:iCs/>
      <w:color w:val="0F4761" w:themeColor="accent1" w:themeShade="BF"/>
    </w:rPr>
  </w:style>
  <w:style w:type="character" w:styleId="IntenseReference">
    <w:name w:val="Intense Reference"/>
    <w:basedOn w:val="DefaultParagraphFont"/>
    <w:uiPriority w:val="32"/>
    <w:qFormat/>
    <w:rsid w:val="00517F6C"/>
    <w:rPr>
      <w:b/>
      <w:bCs/>
      <w:smallCaps/>
      <w:color w:val="0F4761" w:themeColor="accent1" w:themeShade="BF"/>
      <w:spacing w:val="5"/>
    </w:rPr>
  </w:style>
  <w:style w:type="paragraph" w:styleId="EndnoteText">
    <w:name w:val="endnote text"/>
    <w:basedOn w:val="Normal"/>
    <w:link w:val="EndnoteTextChar"/>
    <w:uiPriority w:val="99"/>
    <w:semiHidden/>
    <w:unhideWhenUsed/>
    <w:rsid w:val="009626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26F4"/>
    <w:rPr>
      <w:sz w:val="20"/>
      <w:szCs w:val="20"/>
    </w:rPr>
  </w:style>
  <w:style w:type="character" w:styleId="EndnoteReference">
    <w:name w:val="endnote reference"/>
    <w:basedOn w:val="DefaultParagraphFont"/>
    <w:uiPriority w:val="99"/>
    <w:semiHidden/>
    <w:unhideWhenUsed/>
    <w:rsid w:val="009626F4"/>
    <w:rPr>
      <w:vertAlign w:val="superscript"/>
    </w:rPr>
  </w:style>
  <w:style w:type="paragraph" w:styleId="FootnoteText">
    <w:name w:val="footnote text"/>
    <w:basedOn w:val="Normal"/>
    <w:link w:val="FootnoteTextChar"/>
    <w:autoRedefine/>
    <w:uiPriority w:val="99"/>
    <w:unhideWhenUsed/>
    <w:qFormat/>
    <w:rsid w:val="00256E5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256E5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626F4"/>
    <w:rPr>
      <w:vertAlign w:val="superscript"/>
    </w:rPr>
  </w:style>
  <w:style w:type="paragraph" w:styleId="Header">
    <w:name w:val="header"/>
    <w:basedOn w:val="Normal"/>
    <w:link w:val="HeaderChar"/>
    <w:uiPriority w:val="99"/>
    <w:unhideWhenUsed/>
    <w:rsid w:val="00962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F4"/>
  </w:style>
  <w:style w:type="paragraph" w:styleId="Footer">
    <w:name w:val="footer"/>
    <w:basedOn w:val="Normal"/>
    <w:link w:val="FooterChar"/>
    <w:uiPriority w:val="99"/>
    <w:unhideWhenUsed/>
    <w:rsid w:val="00962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F4"/>
  </w:style>
  <w:style w:type="paragraph" w:styleId="TOC2">
    <w:name w:val="toc 2"/>
    <w:basedOn w:val="Normal"/>
    <w:next w:val="Normal"/>
    <w:autoRedefine/>
    <w:uiPriority w:val="39"/>
    <w:unhideWhenUsed/>
    <w:rsid w:val="001D58EA"/>
    <w:pPr>
      <w:spacing w:after="100"/>
      <w:ind w:left="240"/>
    </w:pPr>
  </w:style>
  <w:style w:type="paragraph" w:styleId="TOC3">
    <w:name w:val="toc 3"/>
    <w:basedOn w:val="Normal"/>
    <w:next w:val="Normal"/>
    <w:autoRedefine/>
    <w:uiPriority w:val="39"/>
    <w:unhideWhenUsed/>
    <w:rsid w:val="001D58EA"/>
    <w:pPr>
      <w:spacing w:after="100"/>
      <w:ind w:left="480"/>
    </w:pPr>
  </w:style>
  <w:style w:type="character" w:styleId="Hyperlink">
    <w:name w:val="Hyperlink"/>
    <w:basedOn w:val="DefaultParagraphFont"/>
    <w:uiPriority w:val="99"/>
    <w:unhideWhenUsed/>
    <w:rsid w:val="001D58EA"/>
    <w:rPr>
      <w:color w:val="467886" w:themeColor="hyperlink"/>
      <w:u w:val="single"/>
    </w:rPr>
  </w:style>
  <w:style w:type="paragraph" w:styleId="TOC1">
    <w:name w:val="toc 1"/>
    <w:basedOn w:val="Normal"/>
    <w:next w:val="Normal"/>
    <w:autoRedefine/>
    <w:uiPriority w:val="39"/>
    <w:unhideWhenUsed/>
    <w:rsid w:val="005323D6"/>
    <w:pPr>
      <w:spacing w:after="100"/>
    </w:pPr>
  </w:style>
  <w:style w:type="paragraph" w:styleId="BalloonText">
    <w:name w:val="Balloon Text"/>
    <w:basedOn w:val="Normal"/>
    <w:link w:val="BalloonTextChar"/>
    <w:uiPriority w:val="99"/>
    <w:semiHidden/>
    <w:unhideWhenUsed/>
    <w:rsid w:val="00532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3D6"/>
    <w:rPr>
      <w:rFonts w:ascii="Segoe UI" w:hAnsi="Segoe UI" w:cs="Segoe UI"/>
      <w:sz w:val="18"/>
      <w:szCs w:val="18"/>
    </w:rPr>
  </w:style>
  <w:style w:type="paragraph" w:styleId="NormalWeb">
    <w:name w:val="Normal (Web)"/>
    <w:basedOn w:val="Normal"/>
    <w:uiPriority w:val="99"/>
    <w:unhideWhenUsed/>
    <w:rsid w:val="007C0D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C0D3C"/>
    <w:rPr>
      <w:i/>
      <w:iCs/>
    </w:rPr>
  </w:style>
  <w:style w:type="paragraph" w:styleId="TOCHeading">
    <w:name w:val="TOC Heading"/>
    <w:basedOn w:val="Heading1"/>
    <w:next w:val="Normal"/>
    <w:uiPriority w:val="39"/>
    <w:unhideWhenUsed/>
    <w:qFormat/>
    <w:rsid w:val="000B252D"/>
    <w:pPr>
      <w:spacing w:before="240" w:after="0" w:line="259" w:lineRule="auto"/>
      <w:outlineLvl w:val="9"/>
    </w:pPr>
    <w:rPr>
      <w:kern w:val="0"/>
      <w:sz w:val="32"/>
      <w:szCs w:val="32"/>
      <w14:ligatures w14:val="none"/>
    </w:rPr>
  </w:style>
  <w:style w:type="paragraph" w:styleId="TOC4">
    <w:name w:val="toc 4"/>
    <w:basedOn w:val="Normal"/>
    <w:next w:val="Normal"/>
    <w:autoRedefine/>
    <w:uiPriority w:val="39"/>
    <w:unhideWhenUsed/>
    <w:rsid w:val="00884D26"/>
    <w:pPr>
      <w:spacing w:after="100"/>
      <w:ind w:left="720"/>
    </w:pPr>
  </w:style>
  <w:style w:type="character" w:styleId="UnresolvedMention">
    <w:name w:val="Unresolved Mention"/>
    <w:basedOn w:val="DefaultParagraphFont"/>
    <w:uiPriority w:val="99"/>
    <w:semiHidden/>
    <w:unhideWhenUsed/>
    <w:rsid w:val="00C715F5"/>
    <w:rPr>
      <w:color w:val="605E5C"/>
      <w:shd w:val="clear" w:color="auto" w:fill="E1DFDD"/>
    </w:rPr>
  </w:style>
  <w:style w:type="character" w:styleId="FollowedHyperlink">
    <w:name w:val="FollowedHyperlink"/>
    <w:basedOn w:val="DefaultParagraphFont"/>
    <w:uiPriority w:val="99"/>
    <w:semiHidden/>
    <w:unhideWhenUsed/>
    <w:rsid w:val="00745C39"/>
    <w:rPr>
      <w:color w:val="96607D" w:themeColor="followedHyperlink"/>
      <w:u w:val="single"/>
    </w:rPr>
  </w:style>
  <w:style w:type="paragraph" w:customStyle="1" w:styleId="11kfxpgc">
    <w:name w:val="_11kfxpgc"/>
    <w:basedOn w:val="Normal"/>
    <w:rsid w:val="00747F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1136">
      <w:bodyDiv w:val="1"/>
      <w:marLeft w:val="0"/>
      <w:marRight w:val="0"/>
      <w:marTop w:val="0"/>
      <w:marBottom w:val="0"/>
      <w:divBdr>
        <w:top w:val="none" w:sz="0" w:space="0" w:color="auto"/>
        <w:left w:val="none" w:sz="0" w:space="0" w:color="auto"/>
        <w:bottom w:val="none" w:sz="0" w:space="0" w:color="auto"/>
        <w:right w:val="none" w:sz="0" w:space="0" w:color="auto"/>
      </w:divBdr>
      <w:divsChild>
        <w:div w:id="1399784573">
          <w:marLeft w:val="0"/>
          <w:marRight w:val="0"/>
          <w:marTop w:val="0"/>
          <w:marBottom w:val="0"/>
          <w:divBdr>
            <w:top w:val="none" w:sz="0" w:space="0" w:color="auto"/>
            <w:left w:val="none" w:sz="0" w:space="0" w:color="auto"/>
            <w:bottom w:val="none" w:sz="0" w:space="0" w:color="auto"/>
            <w:right w:val="none" w:sz="0" w:space="0" w:color="auto"/>
          </w:divBdr>
          <w:divsChild>
            <w:div w:id="1043020423">
              <w:marLeft w:val="0"/>
              <w:marRight w:val="0"/>
              <w:marTop w:val="0"/>
              <w:marBottom w:val="0"/>
              <w:divBdr>
                <w:top w:val="none" w:sz="0" w:space="0" w:color="auto"/>
                <w:left w:val="none" w:sz="0" w:space="0" w:color="auto"/>
                <w:bottom w:val="none" w:sz="0" w:space="0" w:color="auto"/>
                <w:right w:val="none" w:sz="0" w:space="0" w:color="auto"/>
              </w:divBdr>
            </w:div>
          </w:divsChild>
        </w:div>
        <w:div w:id="468595571">
          <w:marLeft w:val="0"/>
          <w:marRight w:val="0"/>
          <w:marTop w:val="0"/>
          <w:marBottom w:val="0"/>
          <w:divBdr>
            <w:top w:val="none" w:sz="0" w:space="0" w:color="auto"/>
            <w:left w:val="none" w:sz="0" w:space="0" w:color="auto"/>
            <w:bottom w:val="none" w:sz="0" w:space="0" w:color="auto"/>
            <w:right w:val="none" w:sz="0" w:space="0" w:color="auto"/>
          </w:divBdr>
          <w:divsChild>
            <w:div w:id="1060863776">
              <w:marLeft w:val="0"/>
              <w:marRight w:val="0"/>
              <w:marTop w:val="0"/>
              <w:marBottom w:val="0"/>
              <w:divBdr>
                <w:top w:val="none" w:sz="0" w:space="0" w:color="auto"/>
                <w:left w:val="none" w:sz="0" w:space="0" w:color="auto"/>
                <w:bottom w:val="none" w:sz="0" w:space="0" w:color="auto"/>
                <w:right w:val="none" w:sz="0" w:space="0" w:color="auto"/>
              </w:divBdr>
            </w:div>
          </w:divsChild>
        </w:div>
        <w:div w:id="521549483">
          <w:marLeft w:val="0"/>
          <w:marRight w:val="0"/>
          <w:marTop w:val="0"/>
          <w:marBottom w:val="0"/>
          <w:divBdr>
            <w:top w:val="none" w:sz="0" w:space="0" w:color="auto"/>
            <w:left w:val="none" w:sz="0" w:space="0" w:color="auto"/>
            <w:bottom w:val="none" w:sz="0" w:space="0" w:color="auto"/>
            <w:right w:val="none" w:sz="0" w:space="0" w:color="auto"/>
          </w:divBdr>
          <w:divsChild>
            <w:div w:id="1506633789">
              <w:marLeft w:val="0"/>
              <w:marRight w:val="0"/>
              <w:marTop w:val="0"/>
              <w:marBottom w:val="0"/>
              <w:divBdr>
                <w:top w:val="none" w:sz="0" w:space="0" w:color="auto"/>
                <w:left w:val="none" w:sz="0" w:space="0" w:color="auto"/>
                <w:bottom w:val="none" w:sz="0" w:space="0" w:color="auto"/>
                <w:right w:val="none" w:sz="0" w:space="0" w:color="auto"/>
              </w:divBdr>
            </w:div>
          </w:divsChild>
        </w:div>
        <w:div w:id="1859001559">
          <w:marLeft w:val="0"/>
          <w:marRight w:val="0"/>
          <w:marTop w:val="0"/>
          <w:marBottom w:val="0"/>
          <w:divBdr>
            <w:top w:val="none" w:sz="0" w:space="0" w:color="auto"/>
            <w:left w:val="none" w:sz="0" w:space="0" w:color="auto"/>
            <w:bottom w:val="none" w:sz="0" w:space="0" w:color="auto"/>
            <w:right w:val="none" w:sz="0" w:space="0" w:color="auto"/>
          </w:divBdr>
          <w:divsChild>
            <w:div w:id="14229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5124">
      <w:bodyDiv w:val="1"/>
      <w:marLeft w:val="0"/>
      <w:marRight w:val="0"/>
      <w:marTop w:val="0"/>
      <w:marBottom w:val="0"/>
      <w:divBdr>
        <w:top w:val="none" w:sz="0" w:space="0" w:color="auto"/>
        <w:left w:val="none" w:sz="0" w:space="0" w:color="auto"/>
        <w:bottom w:val="none" w:sz="0" w:space="0" w:color="auto"/>
        <w:right w:val="none" w:sz="0" w:space="0" w:color="auto"/>
      </w:divBdr>
    </w:div>
    <w:div w:id="248975354">
      <w:bodyDiv w:val="1"/>
      <w:marLeft w:val="0"/>
      <w:marRight w:val="0"/>
      <w:marTop w:val="0"/>
      <w:marBottom w:val="0"/>
      <w:divBdr>
        <w:top w:val="none" w:sz="0" w:space="0" w:color="auto"/>
        <w:left w:val="none" w:sz="0" w:space="0" w:color="auto"/>
        <w:bottom w:val="none" w:sz="0" w:space="0" w:color="auto"/>
        <w:right w:val="none" w:sz="0" w:space="0" w:color="auto"/>
      </w:divBdr>
      <w:divsChild>
        <w:div w:id="2105107173">
          <w:marLeft w:val="0"/>
          <w:marRight w:val="0"/>
          <w:marTop w:val="0"/>
          <w:marBottom w:val="0"/>
          <w:divBdr>
            <w:top w:val="none" w:sz="0" w:space="0" w:color="auto"/>
            <w:left w:val="none" w:sz="0" w:space="0" w:color="auto"/>
            <w:bottom w:val="none" w:sz="0" w:space="0" w:color="auto"/>
            <w:right w:val="none" w:sz="0" w:space="0" w:color="auto"/>
          </w:divBdr>
          <w:divsChild>
            <w:div w:id="555507662">
              <w:marLeft w:val="0"/>
              <w:marRight w:val="0"/>
              <w:marTop w:val="0"/>
              <w:marBottom w:val="0"/>
              <w:divBdr>
                <w:top w:val="none" w:sz="0" w:space="0" w:color="auto"/>
                <w:left w:val="none" w:sz="0" w:space="0" w:color="auto"/>
                <w:bottom w:val="none" w:sz="0" w:space="0" w:color="auto"/>
                <w:right w:val="none" w:sz="0" w:space="0" w:color="auto"/>
              </w:divBdr>
              <w:divsChild>
                <w:div w:id="10982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44738">
      <w:bodyDiv w:val="1"/>
      <w:marLeft w:val="0"/>
      <w:marRight w:val="0"/>
      <w:marTop w:val="0"/>
      <w:marBottom w:val="0"/>
      <w:divBdr>
        <w:top w:val="none" w:sz="0" w:space="0" w:color="auto"/>
        <w:left w:val="none" w:sz="0" w:space="0" w:color="auto"/>
        <w:bottom w:val="none" w:sz="0" w:space="0" w:color="auto"/>
        <w:right w:val="none" w:sz="0" w:space="0" w:color="auto"/>
      </w:divBdr>
    </w:div>
    <w:div w:id="485973239">
      <w:bodyDiv w:val="1"/>
      <w:marLeft w:val="0"/>
      <w:marRight w:val="0"/>
      <w:marTop w:val="0"/>
      <w:marBottom w:val="0"/>
      <w:divBdr>
        <w:top w:val="none" w:sz="0" w:space="0" w:color="auto"/>
        <w:left w:val="none" w:sz="0" w:space="0" w:color="auto"/>
        <w:bottom w:val="none" w:sz="0" w:space="0" w:color="auto"/>
        <w:right w:val="none" w:sz="0" w:space="0" w:color="auto"/>
      </w:divBdr>
    </w:div>
    <w:div w:id="492600591">
      <w:bodyDiv w:val="1"/>
      <w:marLeft w:val="0"/>
      <w:marRight w:val="0"/>
      <w:marTop w:val="0"/>
      <w:marBottom w:val="0"/>
      <w:divBdr>
        <w:top w:val="none" w:sz="0" w:space="0" w:color="auto"/>
        <w:left w:val="none" w:sz="0" w:space="0" w:color="auto"/>
        <w:bottom w:val="none" w:sz="0" w:space="0" w:color="auto"/>
        <w:right w:val="none" w:sz="0" w:space="0" w:color="auto"/>
      </w:divBdr>
    </w:div>
    <w:div w:id="984234374">
      <w:bodyDiv w:val="1"/>
      <w:marLeft w:val="0"/>
      <w:marRight w:val="0"/>
      <w:marTop w:val="0"/>
      <w:marBottom w:val="0"/>
      <w:divBdr>
        <w:top w:val="none" w:sz="0" w:space="0" w:color="auto"/>
        <w:left w:val="none" w:sz="0" w:space="0" w:color="auto"/>
        <w:bottom w:val="none" w:sz="0" w:space="0" w:color="auto"/>
        <w:right w:val="none" w:sz="0" w:space="0" w:color="auto"/>
      </w:divBdr>
    </w:div>
    <w:div w:id="1017200041">
      <w:bodyDiv w:val="1"/>
      <w:marLeft w:val="0"/>
      <w:marRight w:val="0"/>
      <w:marTop w:val="0"/>
      <w:marBottom w:val="0"/>
      <w:divBdr>
        <w:top w:val="none" w:sz="0" w:space="0" w:color="auto"/>
        <w:left w:val="none" w:sz="0" w:space="0" w:color="auto"/>
        <w:bottom w:val="none" w:sz="0" w:space="0" w:color="auto"/>
        <w:right w:val="none" w:sz="0" w:space="0" w:color="auto"/>
      </w:divBdr>
    </w:div>
    <w:div w:id="1168015163">
      <w:bodyDiv w:val="1"/>
      <w:marLeft w:val="0"/>
      <w:marRight w:val="0"/>
      <w:marTop w:val="0"/>
      <w:marBottom w:val="0"/>
      <w:divBdr>
        <w:top w:val="none" w:sz="0" w:space="0" w:color="auto"/>
        <w:left w:val="none" w:sz="0" w:space="0" w:color="auto"/>
        <w:bottom w:val="none" w:sz="0" w:space="0" w:color="auto"/>
        <w:right w:val="none" w:sz="0" w:space="0" w:color="auto"/>
      </w:divBdr>
    </w:div>
    <w:div w:id="1631396599">
      <w:bodyDiv w:val="1"/>
      <w:marLeft w:val="0"/>
      <w:marRight w:val="0"/>
      <w:marTop w:val="0"/>
      <w:marBottom w:val="0"/>
      <w:divBdr>
        <w:top w:val="none" w:sz="0" w:space="0" w:color="auto"/>
        <w:left w:val="none" w:sz="0" w:space="0" w:color="auto"/>
        <w:bottom w:val="none" w:sz="0" w:space="0" w:color="auto"/>
        <w:right w:val="none" w:sz="0" w:space="0" w:color="auto"/>
      </w:divBdr>
    </w:div>
    <w:div w:id="1639188235">
      <w:bodyDiv w:val="1"/>
      <w:marLeft w:val="0"/>
      <w:marRight w:val="0"/>
      <w:marTop w:val="0"/>
      <w:marBottom w:val="0"/>
      <w:divBdr>
        <w:top w:val="none" w:sz="0" w:space="0" w:color="auto"/>
        <w:left w:val="none" w:sz="0" w:space="0" w:color="auto"/>
        <w:bottom w:val="none" w:sz="0" w:space="0" w:color="auto"/>
        <w:right w:val="none" w:sz="0" w:space="0" w:color="auto"/>
      </w:divBdr>
    </w:div>
    <w:div w:id="1643073209">
      <w:bodyDiv w:val="1"/>
      <w:marLeft w:val="0"/>
      <w:marRight w:val="0"/>
      <w:marTop w:val="0"/>
      <w:marBottom w:val="0"/>
      <w:divBdr>
        <w:top w:val="none" w:sz="0" w:space="0" w:color="auto"/>
        <w:left w:val="none" w:sz="0" w:space="0" w:color="auto"/>
        <w:bottom w:val="none" w:sz="0" w:space="0" w:color="auto"/>
        <w:right w:val="none" w:sz="0" w:space="0" w:color="auto"/>
      </w:divBdr>
    </w:div>
    <w:div w:id="1690984251">
      <w:bodyDiv w:val="1"/>
      <w:marLeft w:val="0"/>
      <w:marRight w:val="0"/>
      <w:marTop w:val="0"/>
      <w:marBottom w:val="0"/>
      <w:divBdr>
        <w:top w:val="none" w:sz="0" w:space="0" w:color="auto"/>
        <w:left w:val="none" w:sz="0" w:space="0" w:color="auto"/>
        <w:bottom w:val="none" w:sz="0" w:space="0" w:color="auto"/>
        <w:right w:val="none" w:sz="0" w:space="0" w:color="auto"/>
      </w:divBdr>
    </w:div>
    <w:div w:id="1713916770">
      <w:bodyDiv w:val="1"/>
      <w:marLeft w:val="0"/>
      <w:marRight w:val="0"/>
      <w:marTop w:val="0"/>
      <w:marBottom w:val="0"/>
      <w:divBdr>
        <w:top w:val="none" w:sz="0" w:space="0" w:color="auto"/>
        <w:left w:val="none" w:sz="0" w:space="0" w:color="auto"/>
        <w:bottom w:val="none" w:sz="0" w:space="0" w:color="auto"/>
        <w:right w:val="none" w:sz="0" w:space="0" w:color="auto"/>
      </w:divBdr>
    </w:div>
    <w:div w:id="1829974166">
      <w:bodyDiv w:val="1"/>
      <w:marLeft w:val="0"/>
      <w:marRight w:val="0"/>
      <w:marTop w:val="0"/>
      <w:marBottom w:val="0"/>
      <w:divBdr>
        <w:top w:val="none" w:sz="0" w:space="0" w:color="auto"/>
        <w:left w:val="none" w:sz="0" w:space="0" w:color="auto"/>
        <w:bottom w:val="none" w:sz="0" w:space="0" w:color="auto"/>
        <w:right w:val="none" w:sz="0" w:space="0" w:color="auto"/>
      </w:divBdr>
    </w:div>
    <w:div w:id="1939674119">
      <w:bodyDiv w:val="1"/>
      <w:marLeft w:val="0"/>
      <w:marRight w:val="0"/>
      <w:marTop w:val="0"/>
      <w:marBottom w:val="0"/>
      <w:divBdr>
        <w:top w:val="none" w:sz="0" w:space="0" w:color="auto"/>
        <w:left w:val="none" w:sz="0" w:space="0" w:color="auto"/>
        <w:bottom w:val="none" w:sz="0" w:space="0" w:color="auto"/>
        <w:right w:val="none" w:sz="0" w:space="0" w:color="auto"/>
      </w:divBdr>
      <w:divsChild>
        <w:div w:id="50732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983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7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17-USC-1496914075-364936160&amp;term_occur=999&amp;term_s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nn.com/2023/04/19/tech/heart-on-sleeve-ai-drake-weeknd" TargetMode="External"/><Relationship Id="rId3" Type="http://schemas.openxmlformats.org/officeDocument/2006/relationships/hyperlink" Target="https://www.musicradar.com/news/ed-sheeran-howard-stern-guitar-medley" TargetMode="External"/><Relationship Id="rId7" Type="http://schemas.openxmlformats.org/officeDocument/2006/relationships/hyperlink" Target="https://techcrunch.com/2023/04/17/uh-oh-an-ai-generated-song-by-drake-and-the-weeknd-went-viral" TargetMode="External"/><Relationship Id="rId12" Type="http://schemas.openxmlformats.org/officeDocument/2006/relationships/hyperlink" Target="https://www.brownejacobson.com/insights/getty-images-stability-ai-judgment-uk-copyright-law-analysis" TargetMode="External"/><Relationship Id="rId2" Type="http://schemas.openxmlformats.org/officeDocument/2006/relationships/hyperlink" Target="https://www.theguardian.com/music/2023/may/04/ed-sheeran-trial-marvin-gaye-key-moments" TargetMode="External"/><Relationship Id="rId1" Type="http://schemas.openxmlformats.org/officeDocument/2006/relationships/hyperlink" Target="https://www.huffingtonpost.co.uk/entry/ed-sheeran-recreates-court-room-performance-guitar_uk_645cc296e4b005be8ff1b967" TargetMode="External"/><Relationship Id="rId6" Type="http://schemas.openxmlformats.org/officeDocument/2006/relationships/hyperlink" Target="https://variety.com/2023/film/news/stephen-fry-ai-stolevoice-harry-potter-audiobooks-1235727795/" TargetMode="External"/><Relationship Id="rId11" Type="http://schemas.openxmlformats.org/officeDocument/2006/relationships/hyperlink" Target="https://arxiv.org/abs/2412.06966" TargetMode="External"/><Relationship Id="rId5" Type="http://schemas.openxmlformats.org/officeDocument/2006/relationships/hyperlink" Target="https://www.scientificamerican.com/article/tougher-ai-policies-could-protect-taylor-swift-and-everyone-else-fromdeepfakes/" TargetMode="External"/><Relationship Id="rId10" Type="http://schemas.openxmlformats.org/officeDocument/2006/relationships/hyperlink" Target="https://guyhepner.com/news/393-andy-warhol-portraits-a-complete-guide/" TargetMode="External"/><Relationship Id="rId4" Type="http://schemas.openxmlformats.org/officeDocument/2006/relationships/hyperlink" Target="https://rightofpublicityroadmap.com/" TargetMode="External"/><Relationship Id="rId9" Type="http://schemas.openxmlformats.org/officeDocument/2006/relationships/hyperlink" Target="https://www.newyorker.com/magazine/1997/12/01/the-fame-fa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62350-C86C-404F-B778-0DD6F1A6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17069</Words>
  <Characters>92857</Characters>
  <Application>Microsoft Office Word</Application>
  <DocSecurity>0</DocSecurity>
  <Lines>1326</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Blanke</dc:creator>
  <cp:keywords/>
  <dc:description/>
  <cp:lastModifiedBy>Jody Blanke</cp:lastModifiedBy>
  <cp:revision>5</cp:revision>
  <cp:lastPrinted>2026-01-29T21:41:00Z</cp:lastPrinted>
  <dcterms:created xsi:type="dcterms:W3CDTF">2026-02-05T21:47:00Z</dcterms:created>
  <dcterms:modified xsi:type="dcterms:W3CDTF">2026-02-05T22:28:00Z</dcterms:modified>
</cp:coreProperties>
</file>