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5AB7" w14:textId="27292B4B" w:rsidR="001D23AE" w:rsidRPr="008372DB" w:rsidRDefault="001D23AE" w:rsidP="008372DB">
      <w:pPr>
        <w:jc w:val="both"/>
        <w:rPr>
          <w:rFonts w:ascii="Times New Roman" w:hAnsi="Times New Roman" w:cs="Times New Roman"/>
          <w:bCs/>
          <w:sz w:val="28"/>
          <w:szCs w:val="28"/>
        </w:rPr>
      </w:pPr>
      <w:r w:rsidRPr="008372DB">
        <w:rPr>
          <w:rFonts w:ascii="Times New Roman" w:hAnsi="Times New Roman" w:cs="Times New Roman"/>
          <w:bCs/>
          <w:sz w:val="28"/>
          <w:szCs w:val="28"/>
        </w:rPr>
        <w:t>Copyright and AI: The Building Blocks</w:t>
      </w:r>
    </w:p>
    <w:p w14:paraId="5F9EF05E" w14:textId="77777777" w:rsidR="001D23AE" w:rsidRPr="001D23AE" w:rsidRDefault="001D23AE" w:rsidP="008372DB">
      <w:pPr>
        <w:jc w:val="both"/>
        <w:rPr>
          <w:rFonts w:ascii="Times New Roman" w:hAnsi="Times New Roman" w:cs="Times New Roman"/>
          <w:b/>
          <w:bCs/>
        </w:rPr>
      </w:pPr>
      <w:r w:rsidRPr="001D23AE">
        <w:rPr>
          <w:rFonts w:ascii="Times New Roman" w:hAnsi="Times New Roman" w:cs="Times New Roman"/>
          <w:b/>
          <w:bCs/>
        </w:rPr>
        <w:t>Jordan “Jody” M. Blanke</w:t>
      </w:r>
      <w:r w:rsidRPr="001D23AE">
        <w:rPr>
          <w:rFonts w:ascii="Times New Roman" w:hAnsi="Times New Roman" w:cs="Times New Roman"/>
          <w:b/>
          <w:bCs/>
          <w:vertAlign w:val="superscript"/>
        </w:rPr>
        <w:footnoteReference w:customMarkFollows="1" w:id="1"/>
        <w:t>*</w:t>
      </w:r>
    </w:p>
    <w:p w14:paraId="7D3629EC" w14:textId="77777777" w:rsidR="001D23AE" w:rsidRPr="008372DB" w:rsidRDefault="001D23AE" w:rsidP="008372DB">
      <w:pPr>
        <w:jc w:val="both"/>
        <w:rPr>
          <w:rFonts w:ascii="Times New Roman" w:hAnsi="Times New Roman" w:cs="Times New Roman"/>
          <w:bCs/>
        </w:rPr>
      </w:pPr>
    </w:p>
    <w:p w14:paraId="410FEBE0" w14:textId="03A9B8BA" w:rsidR="00A75C8E" w:rsidRPr="008372DB" w:rsidRDefault="004C556B" w:rsidP="00BF19FD">
      <w:pPr>
        <w:jc w:val="center"/>
        <w:rPr>
          <w:rFonts w:ascii="Times New Roman" w:hAnsi="Times New Roman" w:cs="Times New Roman"/>
          <w:bCs/>
          <w:i/>
          <w:iCs/>
        </w:rPr>
      </w:pPr>
      <w:r w:rsidRPr="008372DB">
        <w:rPr>
          <w:rFonts w:ascii="Times New Roman" w:hAnsi="Times New Roman" w:cs="Times New Roman"/>
          <w:bCs/>
          <w:i/>
          <w:iCs/>
        </w:rPr>
        <w:t>Abstract</w:t>
      </w:r>
    </w:p>
    <w:p w14:paraId="1AD8BB28" w14:textId="77777777" w:rsidR="00A75C8E" w:rsidRDefault="00A75C8E" w:rsidP="008372DB">
      <w:pPr>
        <w:jc w:val="both"/>
        <w:rPr>
          <w:rFonts w:ascii="Times New Roman" w:hAnsi="Times New Roman" w:cs="Times New Roman"/>
          <w:u w:val="single"/>
        </w:rPr>
      </w:pPr>
    </w:p>
    <w:p w14:paraId="0790ABA7" w14:textId="3E48EADC" w:rsidR="00A75C8E" w:rsidRDefault="004C556B" w:rsidP="008372DB">
      <w:pPr>
        <w:ind w:left="720" w:right="720"/>
        <w:jc w:val="both"/>
        <w:rPr>
          <w:rFonts w:ascii="Times New Roman" w:hAnsi="Times New Roman" w:cs="Times New Roman"/>
        </w:rPr>
      </w:pPr>
      <w:r>
        <w:rPr>
          <w:rFonts w:ascii="Times New Roman" w:hAnsi="Times New Roman" w:cs="Times New Roman"/>
        </w:rPr>
        <w:t>The rapid development of artificial intelligence has revived many of the oldest and most enduring questions in copyright law. Courts now confront whether AI systems infringe by training on copyrighted works, whether AI-generated output may infringe existing copyrights, whether AI-generated output can qualify for protection, and how traditional doctrines</w:t>
      </w:r>
      <w:r w:rsidR="00905B54">
        <w:rPr>
          <w:rFonts w:ascii="Times New Roman" w:hAnsi="Times New Roman" w:cs="Times New Roman"/>
        </w:rPr>
        <w:t xml:space="preserve">, </w:t>
      </w:r>
      <w:r>
        <w:rPr>
          <w:rFonts w:ascii="Times New Roman" w:hAnsi="Times New Roman" w:cs="Times New Roman"/>
        </w:rPr>
        <w:t>such as originality, fair use, and authorship</w:t>
      </w:r>
      <w:r w:rsidR="00905B54">
        <w:rPr>
          <w:rFonts w:ascii="Times New Roman" w:hAnsi="Times New Roman" w:cs="Times New Roman"/>
        </w:rPr>
        <w:t xml:space="preserve">, </w:t>
      </w:r>
      <w:r>
        <w:rPr>
          <w:rFonts w:ascii="Times New Roman" w:hAnsi="Times New Roman" w:cs="Times New Roman"/>
        </w:rPr>
        <w:t>apply when human creativity is mediated by machines. This Article argues that these disputes are best understood through the foundational “building blocks” of copyright law. Longstanding precedents</w:t>
      </w:r>
      <w:r w:rsidR="00905B54">
        <w:rPr>
          <w:rFonts w:ascii="Times New Roman" w:hAnsi="Times New Roman" w:cs="Times New Roman"/>
        </w:rPr>
        <w:t xml:space="preserve">, </w:t>
      </w:r>
      <w:r>
        <w:rPr>
          <w:rFonts w:ascii="Times New Roman" w:hAnsi="Times New Roman" w:cs="Times New Roman"/>
        </w:rPr>
        <w:t xml:space="preserve">from </w:t>
      </w:r>
      <w:r>
        <w:rPr>
          <w:rFonts w:ascii="Times New Roman" w:hAnsi="Times New Roman" w:cs="Times New Roman"/>
          <w:i/>
          <w:iCs/>
        </w:rPr>
        <w:t>Baker v. Selden</w:t>
      </w:r>
      <w:r>
        <w:rPr>
          <w:rFonts w:ascii="Times New Roman" w:hAnsi="Times New Roman" w:cs="Times New Roman"/>
        </w:rPr>
        <w:t xml:space="preserve"> and </w:t>
      </w:r>
      <w:r>
        <w:rPr>
          <w:rFonts w:ascii="Times New Roman" w:hAnsi="Times New Roman" w:cs="Times New Roman"/>
          <w:i/>
          <w:iCs/>
        </w:rPr>
        <w:t>Feist Publications v. Rural Telephone</w:t>
      </w:r>
      <w:r>
        <w:rPr>
          <w:rFonts w:ascii="Times New Roman" w:hAnsi="Times New Roman" w:cs="Times New Roman"/>
        </w:rPr>
        <w:t xml:space="preserve"> to </w:t>
      </w:r>
      <w:r>
        <w:rPr>
          <w:rFonts w:ascii="Times New Roman" w:hAnsi="Times New Roman" w:cs="Times New Roman"/>
          <w:i/>
          <w:iCs/>
        </w:rPr>
        <w:t xml:space="preserve">Campbell v. Acuff-Rose </w:t>
      </w:r>
      <w:r>
        <w:rPr>
          <w:rFonts w:ascii="Times New Roman" w:hAnsi="Times New Roman" w:cs="Times New Roman"/>
        </w:rPr>
        <w:t xml:space="preserve">and </w:t>
      </w:r>
      <w:r>
        <w:rPr>
          <w:rFonts w:ascii="Times New Roman" w:hAnsi="Times New Roman" w:cs="Times New Roman"/>
          <w:i/>
          <w:iCs/>
        </w:rPr>
        <w:t>Warhol v. Goldsmith</w:t>
      </w:r>
      <w:r w:rsidR="00905B54" w:rsidRPr="008372DB">
        <w:rPr>
          <w:rFonts w:ascii="Times New Roman" w:hAnsi="Times New Roman" w:cs="Times New Roman"/>
        </w:rPr>
        <w:t>,</w:t>
      </w:r>
      <w:r w:rsidR="00905B54">
        <w:rPr>
          <w:rFonts w:ascii="Times New Roman" w:hAnsi="Times New Roman" w:cs="Times New Roman"/>
          <w:i/>
          <w:iCs/>
        </w:rPr>
        <w:t xml:space="preserve"> </w:t>
      </w:r>
      <w:r>
        <w:rPr>
          <w:rFonts w:ascii="Times New Roman" w:hAnsi="Times New Roman" w:cs="Times New Roman"/>
        </w:rPr>
        <w:t xml:space="preserve">already provide analytical tools necessary to address today’s challenges. By tracing the evolution of core concepts such as </w:t>
      </w:r>
      <w:proofErr w:type="gramStart"/>
      <w:r>
        <w:rPr>
          <w:rFonts w:ascii="Times New Roman" w:hAnsi="Times New Roman" w:cs="Times New Roman"/>
        </w:rPr>
        <w:t>idea</w:t>
      </w:r>
      <w:proofErr w:type="gramEnd"/>
      <w:r>
        <w:rPr>
          <w:rFonts w:ascii="Times New Roman" w:hAnsi="Times New Roman" w:cs="Times New Roman"/>
        </w:rPr>
        <w:t xml:space="preserve"> and expression, facts and originality, human authorship, substantial similarity, and transformative use, this Article demonstrates that the law of copyright has always evolved around and beside technology, and will continue to do so</w:t>
      </w:r>
      <w:proofErr w:type="gramStart"/>
      <w:r>
        <w:rPr>
          <w:rFonts w:ascii="Times New Roman" w:hAnsi="Times New Roman" w:cs="Times New Roman"/>
        </w:rPr>
        <w:t>, likely</w:t>
      </w:r>
      <w:proofErr w:type="gramEnd"/>
      <w:r>
        <w:rPr>
          <w:rFonts w:ascii="Times New Roman" w:hAnsi="Times New Roman" w:cs="Times New Roman"/>
        </w:rPr>
        <w:t xml:space="preserve"> shaping new building blocks for the future. Far from demanding an overhaul of doctrine, artificial intelligence invites a renewed appreciation for copyright’s resilience and its continuing capacity to balance incentive, creativity, and public access, and to “promote the progress of science and the useful arts” in the digital age.</w:t>
      </w:r>
    </w:p>
    <w:p w14:paraId="5415C909" w14:textId="77777777" w:rsidR="00A75C8E" w:rsidRDefault="00A75C8E" w:rsidP="008372DB">
      <w:pPr>
        <w:jc w:val="both"/>
        <w:rPr>
          <w:rFonts w:ascii="Times New Roman" w:hAnsi="Times New Roman" w:cs="Times New Roman"/>
        </w:rPr>
      </w:pPr>
    </w:p>
    <w:p w14:paraId="62CE2DEB" w14:textId="77777777" w:rsidR="00A75C8E" w:rsidRDefault="004C556B" w:rsidP="008372DB">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Keywords: copyright; artificial intelligence; idea-expression dichotomy; substantial similarity; fair use; transformative use; right of publicity; generative AI; AI training</w:t>
      </w:r>
    </w:p>
    <w:p w14:paraId="6F6D2D74" w14:textId="77777777" w:rsidR="00A75C8E" w:rsidRDefault="00A75C8E" w:rsidP="008372DB">
      <w:pPr>
        <w:spacing w:after="40" w:line="240" w:lineRule="auto"/>
        <w:jc w:val="both"/>
      </w:pPr>
    </w:p>
    <w:p w14:paraId="4A75ABC2" w14:textId="77777777" w:rsidR="00A75C8E" w:rsidRDefault="00A75C8E" w:rsidP="008372DB">
      <w:pPr>
        <w:spacing w:after="40" w:line="240" w:lineRule="auto"/>
        <w:jc w:val="both"/>
      </w:pPr>
    </w:p>
    <w:p w14:paraId="1F4B0B9E" w14:textId="77777777" w:rsidR="00A75C8E" w:rsidRDefault="00A75C8E" w:rsidP="008372DB">
      <w:pPr>
        <w:spacing w:after="40" w:line="240" w:lineRule="auto"/>
        <w:jc w:val="both"/>
      </w:pPr>
    </w:p>
    <w:p w14:paraId="1D097395" w14:textId="77777777" w:rsidR="00A75C8E" w:rsidRDefault="00A75C8E" w:rsidP="008372DB">
      <w:pPr>
        <w:spacing w:after="40" w:line="240" w:lineRule="auto"/>
        <w:jc w:val="both"/>
      </w:pPr>
    </w:p>
    <w:p w14:paraId="0EA3E40A" w14:textId="77777777" w:rsidR="00A75C8E" w:rsidRDefault="004C556B" w:rsidP="008372DB">
      <w:pPr>
        <w:jc w:val="both"/>
        <w:rPr>
          <w:rFonts w:ascii="Times New Roman" w:eastAsia="Times New Roman" w:hAnsi="Times New Roman" w:cs="Times New Roman"/>
          <w:b/>
          <w:bCs/>
          <w:kern w:val="0"/>
          <w:sz w:val="36"/>
          <w:szCs w:val="36"/>
          <w14:ligatures w14:val="none"/>
        </w:rPr>
      </w:pPr>
      <w:r>
        <w:rPr>
          <w:b/>
        </w:rPr>
        <w:t xml:space="preserve">1 </w:t>
      </w:r>
      <w:bookmarkStart w:id="0" w:name="_Hlk221204788"/>
      <w:r>
        <w:rPr>
          <w:b/>
        </w:rPr>
        <w:t>INTRODUCTION</w:t>
      </w:r>
    </w:p>
    <w:p w14:paraId="406FFCFE" w14:textId="636AC143"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The story of copyright is one of continuity amid disruption. Each technological innovation</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whether the printing press, photography, the phonograph, or the digital computer</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has prompted predictions that copyright’s foundations would crack under the weight of change. Yet each time, the law adapts without reinventing itself. The familiar principles of authorship, originality, and fair use have proven remarkably resilient. As the old adage goes, </w:t>
      </w:r>
      <w:r>
        <w:rPr>
          <w:rFonts w:ascii="Times New Roman" w:eastAsia="Times New Roman" w:hAnsi="Times New Roman" w:cs="Times New Roman"/>
          <w:i/>
          <w:iCs/>
          <w:kern w:val="0"/>
          <w14:ligatures w14:val="none"/>
        </w:rPr>
        <w:t>the more things change, the more they remain the same.</w:t>
      </w:r>
    </w:p>
    <w:p w14:paraId="2349804E" w14:textId="11851F3A"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Artificial intelligence now joins that long line of disruptive technologies. Generative models capable of producing text, images, and music that resemble human creations have raised urgent questions about whether copyright’s traditional doctrines are still sufficient. Does the ingestion of millions of copyrighted works to train a model constitute infringement or fair use? Are AI-assisted works entitled to protection? And if the output of these systems imitates a creator’s “style” or “voice,” do we face a new form of appropriation</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or merely a new way of expressing old ideas?</w:t>
      </w:r>
    </w:p>
    <w:p w14:paraId="55CBF69E" w14:textId="4CBF4E26"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same cases that define the modern boundaries of copyright</w:t>
      </w:r>
      <w:r w:rsidR="00905B54">
        <w:rPr>
          <w:rFonts w:ascii="Times New Roman" w:eastAsia="Times New Roman" w:hAnsi="Times New Roman" w:cs="Times New Roman"/>
          <w:kern w:val="0"/>
          <w14:ligatures w14:val="none"/>
        </w:rPr>
        <w:t xml:space="preserve">, </w:t>
      </w:r>
      <w:r>
        <w:rPr>
          <w:rFonts w:ascii="Times New Roman" w:hAnsi="Times New Roman"/>
          <w:kern w:val="0"/>
          <w14:ligatures w14:val="none"/>
        </w:rPr>
        <w:t>Baker</w:t>
      </w:r>
      <w:r>
        <w:rPr>
          <w:rFonts w:ascii="Times New Roman" w:eastAsia="Times New Roman" w:hAnsi="Times New Roman" w:cs="Times New Roman"/>
          <w:i/>
          <w:iCs/>
          <w:kern w:val="0"/>
          <w14:ligatures w14:val="none"/>
        </w:rPr>
        <w:t xml:space="preserve"> v. Selden</w:t>
      </w:r>
      <w:r>
        <w:rPr>
          <w:rFonts w:ascii="Times New Roman" w:eastAsia="Times New Roman" w:hAnsi="Times New Roman" w:cs="Times New Roman"/>
          <w:kern w:val="0"/>
          <w14:ligatures w14:val="none"/>
        </w:rPr>
        <w:t xml:space="preserve">, </w:t>
      </w:r>
      <w:r>
        <w:rPr>
          <w:rFonts w:ascii="Times New Roman" w:hAnsi="Times New Roman" w:cs="Times New Roman"/>
          <w:i/>
          <w:iCs/>
        </w:rPr>
        <w:t>Feist Publications v. Rural Telephone</w:t>
      </w:r>
      <w:r>
        <w:rPr>
          <w:rFonts w:ascii="Times New Roman" w:eastAsia="Times New Roman" w:hAnsi="Times New Roman" w:cs="Times New Roman"/>
          <w:kern w:val="0"/>
          <w14:ligatures w14:val="none"/>
        </w:rPr>
        <w:t xml:space="preserve">, </w:t>
      </w:r>
      <w:r>
        <w:rPr>
          <w:rFonts w:ascii="Times New Roman" w:hAnsi="Times New Roman" w:cs="Times New Roman"/>
          <w:i/>
          <w:iCs/>
        </w:rPr>
        <w:t>Atari v. North American Philips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Campbell v. Acuff-Rose Music</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 xml:space="preserve">Warhol v. Goldsmith </w:t>
      </w:r>
      <w:r>
        <w:rPr>
          <w:rFonts w:ascii="Times New Roman" w:eastAsia="Times New Roman" w:hAnsi="Times New Roman" w:cs="Times New Roman"/>
          <w:iCs/>
          <w:kern w:val="0"/>
          <w14:ligatures w14:val="none"/>
        </w:rPr>
        <w:t>and others</w:t>
      </w:r>
      <w:r w:rsidR="00905B54">
        <w:rPr>
          <w:rFonts w:ascii="Times New Roman" w:eastAsia="Times New Roman" w:hAnsi="Times New Roman" w:cs="Times New Roman"/>
          <w:iCs/>
          <w:kern w:val="0"/>
          <w14:ligatures w14:val="none"/>
        </w:rPr>
        <w:t xml:space="preserve">, </w:t>
      </w:r>
      <w:r>
        <w:rPr>
          <w:rFonts w:ascii="Times New Roman" w:eastAsia="Times New Roman" w:hAnsi="Times New Roman" w:cs="Times New Roman"/>
          <w:iCs/>
          <w:kern w:val="0"/>
          <w14:ligatures w14:val="none"/>
        </w:rPr>
        <w:t>remain</w:t>
      </w:r>
      <w:r>
        <w:rPr>
          <w:rFonts w:ascii="Times New Roman" w:eastAsia="Times New Roman" w:hAnsi="Times New Roman" w:cs="Times New Roman"/>
          <w:kern w:val="0"/>
          <w14:ligatures w14:val="none"/>
        </w:rPr>
        <w:t xml:space="preserve"> at the heart of today’s AI controversies. The doctrines those decisions shaped form the building blocks upon which copyright law has always rested. They are not relics. They are the architecture of the system itself. What has changed is not the law’s foundation but rather the complexity of the structures we build on it. The Copyright Office’s ongoing Copyright and Artificial Intelligence studies illustrate this complexity, identifying the principal questions now confronting policymakers and courts.</w:t>
      </w:r>
      <w:r>
        <w:rPr>
          <w:rStyle w:val="FootnoteReference"/>
        </w:rPr>
        <w:footnoteReference w:id="2"/>
      </w:r>
    </w:p>
    <w:p w14:paraId="0CC0F3C7" w14:textId="60152238"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These building blocks</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authorship, the idea–expression dichotomy, originality and compilations, substantial similarity, fair use, and transformative use</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have evolved through analog and digital revolutions alike. Each offers insight into AI’s challenges. The idea-expression dichotomy reminds us that copyright protects only the tangible manifestation of original or creative expression, not the underlying idea.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teaches us that vast effort itself cannot substitute for originality. </w:t>
      </w:r>
      <w:r>
        <w:rPr>
          <w:rFonts w:ascii="Times New Roman" w:eastAsia="Times New Roman" w:hAnsi="Times New Roman" w:cs="Times New Roman"/>
          <w:i/>
          <w:iCs/>
          <w:kern w:val="0"/>
          <w14:ligatures w14:val="none"/>
        </w:rPr>
        <w:t>Atari</w:t>
      </w:r>
      <w:r>
        <w:rPr>
          <w:rFonts w:ascii="Times New Roman" w:eastAsia="Times New Roman" w:hAnsi="Times New Roman" w:cs="Times New Roman"/>
          <w:kern w:val="0"/>
          <w14:ligatures w14:val="none"/>
        </w:rPr>
        <w:t xml:space="preserve">’s “look and feel” jurisprudence helps define our struggle to separate style from substance. </w:t>
      </w:r>
      <w:r>
        <w:rPr>
          <w:rFonts w:ascii="Times New Roman" w:eastAsia="Times New Roman" w:hAnsi="Times New Roman" w:cs="Times New Roman"/>
          <w:i/>
          <w:iCs/>
          <w:kern w:val="0"/>
          <w14:ligatures w14:val="none"/>
        </w:rPr>
        <w:t>Campbell</w:t>
      </w:r>
      <w:r>
        <w:rPr>
          <w:rFonts w:ascii="Times New Roman" w:eastAsia="Times New Roman" w:hAnsi="Times New Roman" w:cs="Times New Roman"/>
          <w:kern w:val="0"/>
          <w14:ligatures w14:val="none"/>
        </w:rPr>
        <w:t xml:space="preserve"> demonstrates that transformation, not mere use, defines fair use. </w:t>
      </w:r>
      <w:r>
        <w:rPr>
          <w:rFonts w:ascii="Times New Roman" w:eastAsia="Times New Roman" w:hAnsi="Times New Roman" w:cs="Times New Roman"/>
          <w:i/>
          <w:kern w:val="0"/>
          <w14:ligatures w14:val="none"/>
        </w:rPr>
        <w:t>Warhol</w:t>
      </w: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recalibrates</w:t>
      </w:r>
      <w:proofErr w:type="gramEnd"/>
      <w:r>
        <w:rPr>
          <w:rFonts w:ascii="Times New Roman" w:eastAsia="Times New Roman" w:hAnsi="Times New Roman" w:cs="Times New Roman"/>
          <w:kern w:val="0"/>
          <w14:ligatures w14:val="none"/>
        </w:rPr>
        <w:t xml:space="preserve"> the balance between transformation and market effect. And the human-authorship cases, from </w:t>
      </w:r>
      <w:r>
        <w:rPr>
          <w:rFonts w:ascii="Times New Roman" w:eastAsia="Times New Roman" w:hAnsi="Times New Roman" w:cs="Times New Roman"/>
          <w:i/>
          <w:iCs/>
          <w:kern w:val="0"/>
          <w14:ligatures w14:val="none"/>
        </w:rPr>
        <w:t xml:space="preserve">Burrow-Giles Lithographic Co. v. </w:t>
      </w:r>
      <w:proofErr w:type="spellStart"/>
      <w:r>
        <w:rPr>
          <w:rFonts w:ascii="Times New Roman" w:eastAsia="Times New Roman" w:hAnsi="Times New Roman" w:cs="Times New Roman"/>
          <w:i/>
          <w:iCs/>
          <w:kern w:val="0"/>
          <w14:ligatures w14:val="none"/>
        </w:rPr>
        <w:t>Sarony</w:t>
      </w:r>
      <w:proofErr w:type="spellEnd"/>
      <w:r>
        <w:rPr>
          <w:rFonts w:ascii="Times New Roman" w:eastAsia="Times New Roman" w:hAnsi="Times New Roman" w:cs="Times New Roman"/>
          <w:kern w:val="0"/>
          <w14:ligatures w14:val="none"/>
        </w:rPr>
        <w:t xml:space="preserve"> to </w:t>
      </w:r>
      <w:r>
        <w:rPr>
          <w:rFonts w:ascii="Times New Roman" w:eastAsia="Times New Roman" w:hAnsi="Times New Roman" w:cs="Times New Roman"/>
          <w:i/>
          <w:iCs/>
          <w:kern w:val="0"/>
          <w14:ligatures w14:val="none"/>
        </w:rPr>
        <w:t>Naruto v. Slater</w:t>
      </w:r>
      <w:r>
        <w:rPr>
          <w:rFonts w:ascii="Times New Roman" w:eastAsia="Times New Roman" w:hAnsi="Times New Roman" w:cs="Times New Roman"/>
          <w:kern w:val="0"/>
          <w14:ligatures w14:val="none"/>
        </w:rPr>
        <w:t xml:space="preserve"> to </w:t>
      </w:r>
      <w:r>
        <w:rPr>
          <w:rFonts w:ascii="Times New Roman" w:eastAsia="Times New Roman" w:hAnsi="Times New Roman" w:cs="Times New Roman"/>
          <w:i/>
          <w:iCs/>
          <w:kern w:val="0"/>
          <w14:ligatures w14:val="none"/>
        </w:rPr>
        <w:t>Thaler v. Perlmutter</w:t>
      </w:r>
      <w:r>
        <w:rPr>
          <w:rFonts w:ascii="Times New Roman" w:eastAsia="Times New Roman" w:hAnsi="Times New Roman" w:cs="Times New Roman"/>
          <w:kern w:val="0"/>
          <w14:ligatures w14:val="none"/>
        </w:rPr>
        <w:t>, force us to assess the division between and the degree of creativity necessary for human and machine originators of expression.</w:t>
      </w:r>
    </w:p>
    <w:p w14:paraId="6154CDBE"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decade ago, my hypothetical “Band Hero on Steroids,” in which users could request the generation and performance of songs in the style of any musical performer simply by providing words, or music, or style, was speculative.</w:t>
      </w:r>
      <w:r>
        <w:rPr>
          <w:rStyle w:val="FootnoteReference"/>
        </w:rPr>
        <w:footnoteReference w:id="3"/>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Cs/>
          <w:kern w:val="0"/>
          <w14:ligatures w14:val="none"/>
        </w:rPr>
        <w:t>Today</w:t>
      </w:r>
      <w:r>
        <w:rPr>
          <w:rFonts w:ascii="Times New Roman" w:eastAsia="Times New Roman" w:hAnsi="Times New Roman" w:cs="Times New Roman"/>
          <w:kern w:val="0"/>
          <w14:ligatures w14:val="none"/>
        </w:rPr>
        <w:t xml:space="preserve">, it is reality. AI can replicate voices, likenesses, and artistic “vibes” with uncanny precision. Yet the legal questions such scenarios </w:t>
      </w:r>
      <w:proofErr w:type="gramStart"/>
      <w:r>
        <w:rPr>
          <w:rFonts w:ascii="Times New Roman" w:eastAsia="Times New Roman" w:hAnsi="Times New Roman" w:cs="Times New Roman"/>
          <w:kern w:val="0"/>
          <w14:ligatures w14:val="none"/>
        </w:rPr>
        <w:t>raise</w:t>
      </w:r>
      <w:proofErr w:type="gramEnd"/>
      <w:r>
        <w:rPr>
          <w:rFonts w:ascii="Times New Roman" w:eastAsia="Times New Roman" w:hAnsi="Times New Roman" w:cs="Times New Roman"/>
          <w:kern w:val="0"/>
          <w14:ligatures w14:val="none"/>
        </w:rPr>
        <w:t xml:space="preserve"> now are not new. They are variations on the same themes that courts have addressed for more than a century.</w:t>
      </w:r>
    </w:p>
    <w:p w14:paraId="0D65D18F"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analysis that follows proceeds from copyright’s foundations to their application in the age of artificial intelligence: Part 2 explores the idea–expression dichotomy and the notion of thin copyright protection; Part 3 examines originality, compilations, and the enduring lessons of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Part 4 addresses the human-authorship requirement as a threshold for copyright protection; Part 5 explores substantial similarity, “look and feel,” and the problem of style, as evident in the Marvin Gaye </w:t>
      </w:r>
      <w:r>
        <w:rPr>
          <w:rFonts w:ascii="Times New Roman" w:eastAsia="Times New Roman" w:hAnsi="Times New Roman" w:cs="Times New Roman"/>
          <w:i/>
          <w:iCs/>
          <w:kern w:val="0"/>
          <w14:ligatures w14:val="none"/>
        </w:rPr>
        <w:t>Blurred Lines</w:t>
      </w:r>
      <w:r>
        <w:rPr>
          <w:rFonts w:ascii="Times New Roman" w:eastAsia="Times New Roman" w:hAnsi="Times New Roman" w:cs="Times New Roman"/>
          <w:kern w:val="0"/>
          <w14:ligatures w14:val="none"/>
        </w:rPr>
        <w:t xml:space="preserve"> and </w:t>
      </w:r>
      <w:r>
        <w:rPr>
          <w:rFonts w:ascii="Times New Roman" w:eastAsia="Times New Roman" w:hAnsi="Times New Roman" w:cs="Times New Roman"/>
          <w:i/>
          <w:kern w:val="0"/>
          <w14:ligatures w14:val="none"/>
        </w:rPr>
        <w:t xml:space="preserve">Ed </w:t>
      </w:r>
      <w:r>
        <w:rPr>
          <w:rFonts w:ascii="Times New Roman" w:eastAsia="Times New Roman" w:hAnsi="Times New Roman" w:cs="Times New Roman"/>
          <w:i/>
          <w:iCs/>
          <w:kern w:val="0"/>
          <w14:ligatures w14:val="none"/>
        </w:rPr>
        <w:t xml:space="preserve">Sheeran </w:t>
      </w:r>
      <w:r>
        <w:rPr>
          <w:rFonts w:ascii="Times New Roman" w:eastAsia="Times New Roman" w:hAnsi="Times New Roman" w:cs="Times New Roman"/>
          <w:iCs/>
          <w:kern w:val="0"/>
          <w14:ligatures w14:val="none"/>
        </w:rPr>
        <w:t>cases</w:t>
      </w:r>
      <w:r>
        <w:rPr>
          <w:rFonts w:ascii="Times New Roman" w:eastAsia="Times New Roman" w:hAnsi="Times New Roman" w:cs="Times New Roman"/>
          <w:kern w:val="0"/>
          <w14:ligatures w14:val="none"/>
        </w:rPr>
        <w:t xml:space="preserve">; Part 6 analyzes fair use, parody, and transformative use from </w:t>
      </w:r>
      <w:r>
        <w:rPr>
          <w:rFonts w:ascii="Times New Roman" w:eastAsia="Times New Roman" w:hAnsi="Times New Roman" w:cs="Times New Roman"/>
          <w:i/>
          <w:iCs/>
          <w:kern w:val="0"/>
          <w14:ligatures w14:val="none"/>
        </w:rPr>
        <w:t>Campbell</w:t>
      </w:r>
      <w:r>
        <w:rPr>
          <w:rFonts w:ascii="Times New Roman" w:eastAsia="Times New Roman" w:hAnsi="Times New Roman" w:cs="Times New Roman"/>
          <w:kern w:val="0"/>
          <w14:ligatures w14:val="none"/>
        </w:rPr>
        <w:t xml:space="preserve"> to </w:t>
      </w:r>
      <w:r>
        <w:rPr>
          <w:rFonts w:ascii="Times New Roman" w:eastAsia="Times New Roman" w:hAnsi="Times New Roman" w:cs="Times New Roman"/>
          <w:i/>
          <w:iCs/>
          <w:kern w:val="0"/>
          <w14:ligatures w14:val="none"/>
        </w:rPr>
        <w:t>Warhol</w:t>
      </w:r>
      <w:r>
        <w:rPr>
          <w:rFonts w:ascii="Times New Roman" w:eastAsia="Times New Roman" w:hAnsi="Times New Roman" w:cs="Times New Roman"/>
          <w:kern w:val="0"/>
          <w14:ligatures w14:val="none"/>
        </w:rPr>
        <w:t xml:space="preserve"> and the AI context; Part 7 considers the ancillary issue of likeness and the right of publicity, focusing on </w:t>
      </w:r>
      <w:r>
        <w:rPr>
          <w:rFonts w:ascii="Times New Roman" w:eastAsia="Times New Roman" w:hAnsi="Times New Roman" w:cs="Times New Roman"/>
          <w:i/>
          <w:iCs/>
          <w:kern w:val="0"/>
          <w14:ligatures w14:val="none"/>
        </w:rPr>
        <w:t>Kirby, Comedy III, No Doubt</w:t>
      </w:r>
      <w:r>
        <w:rPr>
          <w:rFonts w:ascii="Times New Roman" w:eastAsia="Times New Roman" w:hAnsi="Times New Roman" w:cs="Times New Roman"/>
          <w:kern w:val="0"/>
          <w14:ligatures w14:val="none"/>
        </w:rPr>
        <w:t xml:space="preserve"> and </w:t>
      </w:r>
      <w:r>
        <w:rPr>
          <w:rFonts w:ascii="Times New Roman" w:eastAsia="Times New Roman" w:hAnsi="Times New Roman" w:cs="Times New Roman"/>
          <w:i/>
          <w:iCs/>
          <w:kern w:val="0"/>
          <w14:ligatures w14:val="none"/>
        </w:rPr>
        <w:t>Warhol</w:t>
      </w:r>
      <w:r>
        <w:rPr>
          <w:rFonts w:ascii="Times New Roman" w:eastAsia="Times New Roman" w:hAnsi="Times New Roman" w:cs="Times New Roman"/>
          <w:kern w:val="0"/>
          <w14:ligatures w14:val="none"/>
        </w:rPr>
        <w:t>; Part 8 surveys current AI–copyright litigation; and Part 9 predicts the outcome in the current litigation and discusses the emergence of a new copyright building block for the age of generative AI.</w:t>
      </w:r>
      <w:r>
        <w:rPr>
          <w:rStyle w:val="FootnoteReference"/>
        </w:rPr>
        <w:footnoteReference w:id="4"/>
      </w:r>
    </w:p>
    <w:p w14:paraId="16252522" w14:textId="032C83AE"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bookmarkStart w:id="3" w:name="_Hlk212454989"/>
      <w:r>
        <w:rPr>
          <w:rFonts w:ascii="Times New Roman" w:eastAsia="Times New Roman" w:hAnsi="Times New Roman" w:cs="Times New Roman"/>
          <w:kern w:val="0"/>
          <w14:ligatures w14:val="none"/>
        </w:rPr>
        <w:t xml:space="preserve">Throughout these discussions, one theme recurs: despite technological transformation, copyright’s strength lies in its continuity. Its doctrines may bend, but they do not break. They remain flexible </w:t>
      </w:r>
      <w:r>
        <w:rPr>
          <w:rFonts w:ascii="Times New Roman" w:eastAsia="Times New Roman" w:hAnsi="Times New Roman" w:cs="Times New Roman"/>
          <w:kern w:val="0"/>
          <w14:ligatures w14:val="none"/>
        </w:rPr>
        <w:lastRenderedPageBreak/>
        <w:t>enough to meet each new challenge</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including artificial intelligence</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without abandoning their historical and jurisprudential roots.</w:t>
      </w:r>
    </w:p>
    <w:p w14:paraId="2A0E3616" w14:textId="77777777" w:rsidR="00A75C8E" w:rsidRDefault="004C556B" w:rsidP="008372DB">
      <w:pPr>
        <w:spacing w:beforeAutospacing="1" w:afterAutospacing="1" w:line="240" w:lineRule="auto"/>
        <w:jc w:val="both"/>
        <w:outlineLvl w:val="1"/>
        <w:rPr>
          <w:b/>
        </w:rPr>
      </w:pPr>
      <w:bookmarkStart w:id="4" w:name="_Toc220693037"/>
      <w:bookmarkEnd w:id="3"/>
      <w:r>
        <w:rPr>
          <w:b/>
        </w:rPr>
        <w:t>2 THE IDEA–EXPRESSION DICHOTOMY</w:t>
      </w:r>
      <w:bookmarkEnd w:id="4"/>
    </w:p>
    <w:p w14:paraId="19D64D6D" w14:textId="76D022E9" w:rsidR="008937E1" w:rsidRPr="00C65EB5" w:rsidRDefault="008937E1" w:rsidP="008372DB">
      <w:pPr>
        <w:spacing w:beforeAutospacing="1" w:afterAutospacing="1" w:line="240" w:lineRule="auto"/>
        <w:jc w:val="both"/>
        <w:outlineLvl w:val="1"/>
        <w:rPr>
          <w:rFonts w:ascii="Times New Roman" w:eastAsia="Times New Roman" w:hAnsi="Times New Roman" w:cs="Times New Roman"/>
          <w:bCs/>
          <w:kern w:val="0"/>
          <w:sz w:val="36"/>
          <w:szCs w:val="36"/>
          <w14:ligatures w14:val="none"/>
        </w:rPr>
      </w:pPr>
      <w:r w:rsidRPr="00C65EB5">
        <w:rPr>
          <w:rFonts w:ascii="Times New Roman" w:hAnsi="Times New Roman" w:cs="Times New Roman"/>
          <w:bCs/>
        </w:rPr>
        <w:t>One of the basic building blocks of copyright law is its important distinction between the idea and expression of a work. Section 2.1 introduces the long history of this notion. Section 2.2</w:t>
      </w:r>
      <w:r>
        <w:rPr>
          <w:rFonts w:ascii="Times New Roman" w:hAnsi="Times New Roman" w:cs="Times New Roman"/>
          <w:bCs/>
        </w:rPr>
        <w:t xml:space="preserve"> discusses how this principle has evolved over the years, often driven by the advent of new technology. Section 2.3 illustrates the importance of this concept with respect to derivative works.</w:t>
      </w:r>
    </w:p>
    <w:p w14:paraId="7E3DAE53"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5" w:name="_Toc220693038"/>
      <w:r>
        <w:rPr>
          <w:b/>
        </w:rPr>
        <w:t xml:space="preserve">2.1 Foundations in </w:t>
      </w:r>
      <w:r>
        <w:rPr>
          <w:b/>
          <w:i/>
        </w:rPr>
        <w:t>Baker v. Selden</w:t>
      </w:r>
      <w:bookmarkEnd w:id="5"/>
    </w:p>
    <w:p w14:paraId="1F55992B" w14:textId="088BC210"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modern conception of copyright’s scope begins with </w:t>
      </w:r>
      <w:r>
        <w:rPr>
          <w:rFonts w:ascii="Times New Roman" w:eastAsia="Times New Roman" w:hAnsi="Times New Roman" w:cs="Times New Roman"/>
          <w:i/>
          <w:iCs/>
          <w:kern w:val="0"/>
          <w14:ligatures w14:val="none"/>
        </w:rPr>
        <w:t>Baker v. Selden,</w:t>
      </w:r>
      <w:r>
        <w:rPr>
          <w:rStyle w:val="FootnoteReference"/>
        </w:rPr>
        <w:footnoteReference w:id="5"/>
      </w:r>
      <w:r>
        <w:rPr>
          <w:rFonts w:ascii="Times New Roman" w:eastAsia="Times New Roman" w:hAnsi="Times New Roman" w:cs="Times New Roman"/>
          <w:kern w:val="0"/>
          <w14:ligatures w14:val="none"/>
        </w:rPr>
        <w:t xml:space="preserve"> where the Supreme Court drew a line that still remains today: copyright protects the </w:t>
      </w:r>
      <w:r>
        <w:rPr>
          <w:rFonts w:ascii="Times New Roman" w:eastAsia="Times New Roman" w:hAnsi="Times New Roman" w:cs="Times New Roman"/>
          <w:i/>
          <w:kern w:val="0"/>
          <w14:ligatures w14:val="none"/>
        </w:rPr>
        <w:t>expression</w:t>
      </w:r>
      <w:r>
        <w:rPr>
          <w:rFonts w:ascii="Times New Roman" w:eastAsia="Times New Roman" w:hAnsi="Times New Roman" w:cs="Times New Roman"/>
          <w:kern w:val="0"/>
          <w14:ligatures w14:val="none"/>
        </w:rPr>
        <w:t xml:space="preserve"> of an idea, but not the idea, method, or system itself.</w:t>
      </w:r>
      <w:r>
        <w:rPr>
          <w:rStyle w:val="FootnoteReference"/>
        </w:rPr>
        <w:footnoteReference w:id="6"/>
      </w:r>
      <w:r>
        <w:rPr>
          <w:rFonts w:ascii="Times New Roman" w:eastAsia="Times New Roman" w:hAnsi="Times New Roman" w:cs="Times New Roman"/>
          <w:kern w:val="0"/>
          <w14:ligatures w14:val="none"/>
        </w:rPr>
        <w:t xml:space="preserve"> Selden’s accounting forms embodied a bookkeeping system, but protection extended only to the expressive arrangement on the page, not to the functional process. That </w:t>
      </w:r>
      <w:r w:rsidR="008372DB">
        <w:rPr>
          <w:rFonts w:ascii="Times New Roman" w:eastAsia="Times New Roman" w:hAnsi="Times New Roman" w:cs="Times New Roman"/>
          <w:kern w:val="0"/>
          <w14:ligatures w14:val="none"/>
        </w:rPr>
        <w:t>distinction, between</w:t>
      </w:r>
      <w:r>
        <w:rPr>
          <w:rFonts w:ascii="Times New Roman" w:eastAsia="Times New Roman" w:hAnsi="Times New Roman" w:cs="Times New Roman"/>
          <w:kern w:val="0"/>
          <w14:ligatures w14:val="none"/>
        </w:rPr>
        <w:t xml:space="preserve"> idea and expression</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remains the cornerstone of every modern infringement dispute.</w:t>
      </w:r>
    </w:p>
    <w:p w14:paraId="31E1D991"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rule is simple in principle but elusive in application. Every creative work is both idea and expression; separating the two is often an act of judgment. Judge Learned Hand observed that “Nobody has ever been able to fix that boundary, and nobody ever can.”</w:t>
      </w:r>
      <w:r>
        <w:rPr>
          <w:rStyle w:val="FootnoteReference"/>
        </w:rPr>
        <w:footnoteReference w:id="7"/>
      </w:r>
      <w:r>
        <w:rPr>
          <w:rFonts w:ascii="Times New Roman" w:eastAsia="Times New Roman" w:hAnsi="Times New Roman" w:cs="Times New Roman"/>
          <w:kern w:val="0"/>
          <w14:ligatures w14:val="none"/>
        </w:rPr>
        <w:t xml:space="preserve"> Yet the persistence of the line has preserved a crucial equilibrium: the law rewards authorship without granting monopoly over the idea itself.</w:t>
      </w:r>
    </w:p>
    <w:p w14:paraId="40646C70"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same challenge reappears today in AI training disputes. Large models learn by ingesting expressive works and extracting statistical patterns from them. In effect, they internalize “ideas” about artistic style or linguistic form without reproducing specific expressions. The </w:t>
      </w:r>
      <w:r>
        <w:rPr>
          <w:rFonts w:ascii="Times New Roman" w:eastAsia="Times New Roman" w:hAnsi="Times New Roman" w:cs="Times New Roman"/>
          <w:i/>
          <w:iCs/>
          <w:kern w:val="0"/>
          <w14:ligatures w14:val="none"/>
        </w:rPr>
        <w:t>Baker</w:t>
      </w:r>
      <w:r>
        <w:rPr>
          <w:rFonts w:ascii="Times New Roman" w:eastAsia="Times New Roman" w:hAnsi="Times New Roman" w:cs="Times New Roman"/>
          <w:kern w:val="0"/>
          <w14:ligatures w14:val="none"/>
        </w:rPr>
        <w:t xml:space="preserve"> distinction offers a conceptual framework for that process: so long as the model captures the underlying method or pattern rather than literal expression, it occupies the realm of idea, not infringement. Whether courts will accept that analogy remains uncertain, but </w:t>
      </w:r>
      <w:r>
        <w:rPr>
          <w:rFonts w:ascii="Times New Roman" w:eastAsia="Times New Roman" w:hAnsi="Times New Roman" w:cs="Times New Roman"/>
          <w:i/>
          <w:iCs/>
          <w:kern w:val="0"/>
          <w14:ligatures w14:val="none"/>
        </w:rPr>
        <w:t>Baker</w:t>
      </w:r>
      <w:r>
        <w:rPr>
          <w:rFonts w:ascii="Times New Roman" w:eastAsia="Times New Roman" w:hAnsi="Times New Roman" w:cs="Times New Roman"/>
          <w:kern w:val="0"/>
          <w14:ligatures w14:val="none"/>
        </w:rPr>
        <w:t xml:space="preserve"> ensures that the inquiry has a doctrinal home.</w:t>
      </w:r>
    </w:p>
    <w:p w14:paraId="67A0D994"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6" w:name="_Toc220693039"/>
      <w:r>
        <w:rPr>
          <w:b/>
        </w:rPr>
        <w:t>2.2 Thin Copyright and the Limits of Protection</w:t>
      </w:r>
      <w:bookmarkEnd w:id="6"/>
    </w:p>
    <w:p w14:paraId="20C7FB41" w14:textId="0D8899C8"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idea–expression dichotomy leads naturally to the concept of thin copyright</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the recognition that some works receive protection so narrow that only virtually identical copying will infringe. Functional or fact-driven works, like databases, instruction manuals, or interface designs, fall into </w:t>
      </w:r>
      <w:r>
        <w:rPr>
          <w:rFonts w:ascii="Times New Roman" w:eastAsia="Times New Roman" w:hAnsi="Times New Roman" w:cs="Times New Roman"/>
          <w:kern w:val="0"/>
          <w14:ligatures w14:val="none"/>
        </w:rPr>
        <w:lastRenderedPageBreak/>
        <w:t>this category.</w:t>
      </w:r>
      <w:r>
        <w:rPr>
          <w:rStyle w:val="FootnoteReference"/>
        </w:rPr>
        <w:footnoteReference w:id="8"/>
      </w:r>
      <w:r>
        <w:rPr>
          <w:rFonts w:ascii="Times New Roman" w:eastAsia="Times New Roman" w:hAnsi="Times New Roman" w:cs="Times New Roman"/>
          <w:kern w:val="0"/>
          <w14:ligatures w14:val="none"/>
        </w:rPr>
        <w:t xml:space="preserve"> Courts developed this notion to prevent copyright from drifting into patent territory, reserving exclusive rights for creative choices rather than for utilitarian form.</w:t>
      </w:r>
    </w:p>
    <w:p w14:paraId="32FEA316"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Thin</w:t>
      </w:r>
      <w:proofErr w:type="gramEnd"/>
      <w:r>
        <w:rPr>
          <w:rFonts w:ascii="Times New Roman" w:eastAsia="Times New Roman" w:hAnsi="Times New Roman" w:cs="Times New Roman"/>
          <w:kern w:val="0"/>
          <w14:ligatures w14:val="none"/>
        </w:rPr>
        <w:t xml:space="preserve"> protection has resurfaced in contemporary debates over algorithmic and AI-assisted creativity. When an AI model reproduces stylistic conventions common to an entire genre, its output should be treated by the </w:t>
      </w:r>
      <w:proofErr w:type="gramStart"/>
      <w:r>
        <w:rPr>
          <w:rFonts w:ascii="Times New Roman" w:eastAsia="Times New Roman" w:hAnsi="Times New Roman" w:cs="Times New Roman"/>
          <w:kern w:val="0"/>
          <w14:ligatures w14:val="none"/>
        </w:rPr>
        <w:t>law</w:t>
      </w:r>
      <w:proofErr w:type="gramEnd"/>
      <w:r>
        <w:rPr>
          <w:rFonts w:ascii="Times New Roman" w:eastAsia="Times New Roman" w:hAnsi="Times New Roman" w:cs="Times New Roman"/>
          <w:kern w:val="0"/>
          <w14:ligatures w14:val="none"/>
        </w:rPr>
        <w:t xml:space="preserve"> the way factual compilations and </w:t>
      </w:r>
      <w:proofErr w:type="spellStart"/>
      <w:r>
        <w:rPr>
          <w:rFonts w:ascii="Times New Roman" w:eastAsia="Times New Roman" w:hAnsi="Times New Roman" w:cs="Times New Roman"/>
          <w:i/>
          <w:iCs/>
          <w:kern w:val="0"/>
          <w14:ligatures w14:val="none"/>
        </w:rPr>
        <w:t>scènes</w:t>
      </w:r>
      <w:proofErr w:type="spellEnd"/>
      <w:r>
        <w:rPr>
          <w:rFonts w:ascii="Times New Roman" w:hAnsi="Times New Roman"/>
          <w:i/>
          <w:kern w:val="0"/>
          <w14:ligatures w14:val="none"/>
        </w:rPr>
        <w:t xml:space="preserve"> à faire</w:t>
      </w: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are:</w:t>
      </w:r>
      <w:proofErr w:type="gramEnd"/>
      <w:r>
        <w:rPr>
          <w:rFonts w:ascii="Times New Roman" w:eastAsia="Times New Roman" w:hAnsi="Times New Roman" w:cs="Times New Roman"/>
          <w:kern w:val="0"/>
          <w14:ligatures w14:val="none"/>
        </w:rPr>
        <w:t xml:space="preserve"> the law protects the author’s unique </w:t>
      </w:r>
      <w:proofErr w:type="gramStart"/>
      <w:r>
        <w:rPr>
          <w:rFonts w:ascii="Times New Roman" w:eastAsia="Times New Roman" w:hAnsi="Times New Roman" w:cs="Times New Roman"/>
          <w:kern w:val="0"/>
          <w14:ligatures w14:val="none"/>
        </w:rPr>
        <w:t>expression, but</w:t>
      </w:r>
      <w:proofErr w:type="gramEnd"/>
      <w:r>
        <w:rPr>
          <w:rFonts w:ascii="Times New Roman" w:eastAsia="Times New Roman" w:hAnsi="Times New Roman" w:cs="Times New Roman"/>
          <w:kern w:val="0"/>
          <w14:ligatures w14:val="none"/>
        </w:rPr>
        <w:t xml:space="preserve"> does not extend that protection to ideas behind the expression or to the facts themselves. The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decision reaffirmed this principle, rejecting “sweat of the brow” theories and holding that facts and data lack authorship.</w:t>
      </w:r>
      <w:r>
        <w:rPr>
          <w:rStyle w:val="FootnoteReference"/>
        </w:rPr>
        <w:footnoteReference w:id="9"/>
      </w:r>
      <w:r>
        <w:rPr>
          <w:rFonts w:ascii="Times New Roman" w:eastAsia="Times New Roman" w:hAnsi="Times New Roman" w:cs="Times New Roman"/>
          <w:kern w:val="0"/>
          <w14:ligatures w14:val="none"/>
        </w:rPr>
        <w:t xml:space="preserve"> The author earns protection only for the original selection and arrangement of those facts, not the facts themselves.</w:t>
      </w:r>
      <w:r>
        <w:rPr>
          <w:rStyle w:val="FootnoteReference"/>
        </w:rPr>
        <w:footnoteReference w:id="10"/>
      </w:r>
    </w:p>
    <w:p w14:paraId="6DC35EDA"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same reasoning governs the use of datasets in training models. Even massive investment in data curation does not create copyright unless the curation itself embodies creativity. The AI-training controversies therefore re-enact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’s lesson in a new technological key: labor alone is not authorship.</w:t>
      </w:r>
      <w:r>
        <w:rPr>
          <w:rStyle w:val="FootnoteReference"/>
        </w:rPr>
        <w:footnoteReference w:id="11"/>
      </w:r>
    </w:p>
    <w:p w14:paraId="7B1AC58E"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9" w:name="_Toc220693040"/>
      <w:r>
        <w:rPr>
          <w:b/>
        </w:rPr>
        <w:t>2.3 Derivative Works</w:t>
      </w:r>
      <w:bookmarkEnd w:id="9"/>
    </w:p>
    <w:p w14:paraId="4D19DC3C" w14:textId="723525A8"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boundaries of idea, expression, and derivative use can be illustrated with a familiar classroom example. J. K. Rowling’s </w:t>
      </w:r>
      <w:r>
        <w:rPr>
          <w:rFonts w:ascii="Times New Roman" w:eastAsia="Times New Roman" w:hAnsi="Times New Roman" w:cs="Times New Roman"/>
          <w:i/>
          <w:iCs/>
          <w:kern w:val="0"/>
          <w14:ligatures w14:val="none"/>
        </w:rPr>
        <w:t>Harry Potter</w:t>
      </w:r>
      <w:r>
        <w:rPr>
          <w:rFonts w:ascii="Times New Roman" w:eastAsia="Times New Roman" w:hAnsi="Times New Roman" w:cs="Times New Roman"/>
          <w:kern w:val="0"/>
          <w14:ligatures w14:val="none"/>
        </w:rPr>
        <w:t xml:space="preserve"> novels express a specific narrative about Harry, Ron, and Hermione attending the Hogwarts School of Witchcraft and Wizardry in the Scottish Highlands. Copyright protects that expression</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the distinctive characters, plot, and setting</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but not the broader idea of a school for wizards. Other authors remain free to write stories about wizarding education elsewhere; however, they may not copy the expressive world that Rowling created.</w:t>
      </w:r>
    </w:p>
    <w:p w14:paraId="7422C92D" w14:textId="217FE5A8"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Derivative works</w:t>
      </w:r>
      <w:r w:rsidR="00905B54">
        <w:rPr>
          <w:rFonts w:ascii="Times New Roman" w:eastAsia="Times New Roman" w:hAnsi="Times New Roman" w:cs="Times New Roman"/>
          <w:kern w:val="0"/>
          <w14:ligatures w14:val="none"/>
        </w:rPr>
        <w:t xml:space="preserve">, such as </w:t>
      </w:r>
      <w:r>
        <w:rPr>
          <w:rFonts w:ascii="Times New Roman" w:eastAsia="Times New Roman" w:hAnsi="Times New Roman" w:cs="Times New Roman"/>
          <w:kern w:val="0"/>
          <w14:ligatures w14:val="none"/>
        </w:rPr>
        <w:t>translations, sequels, dramatizations, films</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extend that expression without erasing the boundary between idea and original form.</w:t>
      </w:r>
      <w:r>
        <w:rPr>
          <w:rStyle w:val="FootnoteReference"/>
        </w:rPr>
        <w:footnoteReference w:id="12"/>
      </w:r>
      <w:r>
        <w:rPr>
          <w:rFonts w:ascii="Times New Roman" w:eastAsia="Times New Roman" w:hAnsi="Times New Roman" w:cs="Times New Roman"/>
          <w:kern w:val="0"/>
          <w14:ligatures w14:val="none"/>
        </w:rPr>
        <w:t xml:space="preserve"> The protection is “thin” in the sense that it does not bar new works built from similar ideas, yet “thick” enough to prevent the direct copying of expressive elements. This balance preserves creative ecosystems while ensuring that no single author can monopolize the idea itself.</w:t>
      </w:r>
    </w:p>
    <w:p w14:paraId="758CCC50"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same logic constrains claims against AI-generated works that adopt familiar “vibes” or “styles.” When an AI model produces music reminiscent of a well-known artist or fiction written “in the style of” another, it may evoke an idea but not necessarily infringe expression.</w:t>
      </w:r>
      <w:r>
        <w:rPr>
          <w:rStyle w:val="FootnoteReference"/>
        </w:rPr>
        <w:footnoteReference w:id="13"/>
      </w:r>
      <w:r>
        <w:rPr>
          <w:rFonts w:ascii="Times New Roman" w:eastAsia="Times New Roman" w:hAnsi="Times New Roman" w:cs="Times New Roman"/>
          <w:kern w:val="0"/>
          <w14:ligatures w14:val="none"/>
        </w:rPr>
        <w:t xml:space="preserve"> The line </w:t>
      </w:r>
      <w:r>
        <w:rPr>
          <w:rFonts w:ascii="Times New Roman" w:eastAsia="Times New Roman" w:hAnsi="Times New Roman" w:cs="Times New Roman"/>
          <w:kern w:val="0"/>
          <w14:ligatures w14:val="none"/>
        </w:rPr>
        <w:lastRenderedPageBreak/>
        <w:t>may be blurry, but it is not new. Copyright’s long-standing architecture already supplies the vocabulary for deciding when inspiration becomes appropriation.</w:t>
      </w:r>
    </w:p>
    <w:p w14:paraId="35871AC4" w14:textId="77777777" w:rsidR="00A75C8E" w:rsidRDefault="004C556B" w:rsidP="008372DB">
      <w:pPr>
        <w:spacing w:beforeAutospacing="1" w:afterAutospacing="1" w:line="240" w:lineRule="auto"/>
        <w:jc w:val="both"/>
        <w:outlineLvl w:val="1"/>
        <w:rPr>
          <w:b/>
          <w:i/>
        </w:rPr>
      </w:pPr>
      <w:bookmarkStart w:id="10" w:name="_Toc220693041"/>
      <w:r>
        <w:rPr>
          <w:b/>
        </w:rPr>
        <w:t xml:space="preserve">3 </w:t>
      </w:r>
      <w:proofErr w:type="gramStart"/>
      <w:r>
        <w:rPr>
          <w:b/>
        </w:rPr>
        <w:t>ORIGINALITY</w:t>
      </w:r>
      <w:proofErr w:type="gramEnd"/>
      <w:r>
        <w:rPr>
          <w:b/>
        </w:rPr>
        <w:t xml:space="preserve">, COMPILATIONS, AND THE ENDURING LESSONS OF </w:t>
      </w:r>
      <w:r>
        <w:rPr>
          <w:b/>
          <w:i/>
        </w:rPr>
        <w:t>FEIST</w:t>
      </w:r>
      <w:bookmarkEnd w:id="10"/>
    </w:p>
    <w:p w14:paraId="4AAE1585" w14:textId="0D98A493" w:rsidR="008937E1" w:rsidRPr="00C65EB5" w:rsidRDefault="008937E1" w:rsidP="008372DB">
      <w:pPr>
        <w:spacing w:beforeAutospacing="1" w:afterAutospacing="1" w:line="240" w:lineRule="auto"/>
        <w:jc w:val="both"/>
        <w:outlineLvl w:val="1"/>
        <w:rPr>
          <w:rFonts w:ascii="Times New Roman" w:eastAsia="Times New Roman" w:hAnsi="Times New Roman" w:cs="Times New Roman"/>
          <w:bCs/>
          <w:iCs/>
          <w:kern w:val="0"/>
          <w:sz w:val="36"/>
          <w:szCs w:val="36"/>
          <w14:ligatures w14:val="none"/>
        </w:rPr>
      </w:pPr>
      <w:r>
        <w:rPr>
          <w:rFonts w:ascii="Times New Roman" w:hAnsi="Times New Roman" w:cs="Times New Roman"/>
          <w:bCs/>
          <w:iCs/>
        </w:rPr>
        <w:t>A Constitutional cornerstone of copyright protection is the originality of the work. Section 3.1</w:t>
      </w:r>
      <w:r w:rsidR="00AC68A8">
        <w:rPr>
          <w:rFonts w:ascii="Times New Roman" w:hAnsi="Times New Roman" w:cs="Times New Roman"/>
          <w:bCs/>
          <w:iCs/>
        </w:rPr>
        <w:t xml:space="preserve"> discusses a landmark case from the 1990s, also driven by technology. Section 3.2 explores the database conundrum that followed, and Section 3.3 shows how relevant this issue is to AI.</w:t>
      </w:r>
    </w:p>
    <w:p w14:paraId="1B1A94DE"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11" w:name="_Toc220693042"/>
      <w:r>
        <w:rPr>
          <w:b/>
        </w:rPr>
        <w:t>3.1 The Rejection of “Sweat of the Brow”</w:t>
      </w:r>
      <w:bookmarkEnd w:id="11"/>
    </w:p>
    <w:p w14:paraId="65CDBCF2"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Few cases illustrate copyright’s resilience better than </w:t>
      </w:r>
      <w:r>
        <w:rPr>
          <w:rFonts w:ascii="Times New Roman" w:eastAsia="Times New Roman" w:hAnsi="Times New Roman" w:cs="Times New Roman"/>
          <w:i/>
          <w:iCs/>
          <w:kern w:val="0"/>
          <w14:ligatures w14:val="none"/>
        </w:rPr>
        <w:t>Feist v. Rural Telephone.</w:t>
      </w:r>
      <w:r>
        <w:rPr>
          <w:rStyle w:val="FootnoteReference"/>
        </w:rPr>
        <w:footnoteReference w:id="14"/>
      </w:r>
      <w:r>
        <w:rPr>
          <w:rFonts w:ascii="Times New Roman" w:eastAsia="Times New Roman" w:hAnsi="Times New Roman" w:cs="Times New Roman"/>
          <w:kern w:val="0"/>
          <w14:ligatures w14:val="none"/>
        </w:rPr>
        <w:t xml:space="preserve"> Decided in 1991,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confronted an old tradition that hard work should earn copyright protection. Rural Telephone’s white pages were compiled through considerable effort, but the Court rejected the notion that “sweat of the brow” could substitute for creativity. Facts are not copyrightable, the Court held, because they are discoveries, not expressions;</w:t>
      </w:r>
      <w:r>
        <w:rPr>
          <w:rStyle w:val="FootnoteReference"/>
        </w:rPr>
        <w:footnoteReference w:id="15"/>
      </w:r>
      <w:r>
        <w:rPr>
          <w:rFonts w:ascii="Times New Roman" w:eastAsia="Times New Roman" w:hAnsi="Times New Roman" w:cs="Times New Roman"/>
          <w:kern w:val="0"/>
          <w14:ligatures w14:val="none"/>
        </w:rPr>
        <w:t xml:space="preserve"> only the author’s original selection or arrangement of those facts qualifies for protection.</w:t>
      </w:r>
      <w:r>
        <w:rPr>
          <w:rStyle w:val="FootnoteReference"/>
        </w:rPr>
        <w:footnoteReference w:id="16"/>
      </w:r>
      <w:r>
        <w:rPr>
          <w:rFonts w:ascii="Times New Roman" w:eastAsia="Times New Roman" w:hAnsi="Times New Roman" w:cs="Times New Roman"/>
          <w:kern w:val="0"/>
          <w14:ligatures w14:val="none"/>
        </w:rPr>
        <w:t xml:space="preserve"> The decision made clear that effort alone is not a substitute for creativity.</w:t>
      </w:r>
      <w:r>
        <w:rPr>
          <w:rStyle w:val="FootnoteReference"/>
        </w:rPr>
        <w:footnoteReference w:id="17"/>
      </w:r>
    </w:p>
    <w:p w14:paraId="20D687E0"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decision is a strong reminder that:</w:t>
      </w:r>
    </w:p>
    <w:p w14:paraId="61276ECB" w14:textId="77777777" w:rsidR="00A75C8E" w:rsidRDefault="004C556B" w:rsidP="008372DB">
      <w:pPr>
        <w:spacing w:beforeAutospacing="1" w:afterAutospacing="1"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primary objective of copyright is not to reward the labor of authors, but “[t]o </w:t>
      </w:r>
      <w:proofErr w:type="gramStart"/>
      <w:r>
        <w:rPr>
          <w:rFonts w:ascii="Times New Roman" w:eastAsia="Times New Roman" w:hAnsi="Times New Roman" w:cs="Times New Roman"/>
          <w:kern w:val="0"/>
          <w14:ligatures w14:val="none"/>
        </w:rPr>
        <w:t>promote</w:t>
      </w:r>
      <w:proofErr w:type="gramEnd"/>
      <w:r>
        <w:rPr>
          <w:rFonts w:ascii="Times New Roman" w:eastAsia="Times New Roman" w:hAnsi="Times New Roman" w:cs="Times New Roman"/>
          <w:kern w:val="0"/>
          <w14:ligatures w14:val="none"/>
        </w:rPr>
        <w:t xml:space="preserve"> the Progress of Science and useful Arts.” To this end, copyright assures authors the right to their original </w:t>
      </w:r>
      <w:proofErr w:type="gramStart"/>
      <w:r>
        <w:rPr>
          <w:rFonts w:ascii="Times New Roman" w:eastAsia="Times New Roman" w:hAnsi="Times New Roman" w:cs="Times New Roman"/>
          <w:kern w:val="0"/>
          <w14:ligatures w14:val="none"/>
        </w:rPr>
        <w:t>expression, but</w:t>
      </w:r>
      <w:proofErr w:type="gramEnd"/>
      <w:r>
        <w:rPr>
          <w:rFonts w:ascii="Times New Roman" w:eastAsia="Times New Roman" w:hAnsi="Times New Roman" w:cs="Times New Roman"/>
          <w:kern w:val="0"/>
          <w14:ligatures w14:val="none"/>
        </w:rPr>
        <w:t xml:space="preserve"> encourages others to build freely upon the ideas and information conveyed</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by </w:t>
      </w:r>
      <w:proofErr w:type="gramStart"/>
      <w:r>
        <w:rPr>
          <w:rFonts w:ascii="Times New Roman" w:eastAsia="Times New Roman" w:hAnsi="Times New Roman" w:cs="Times New Roman"/>
          <w:kern w:val="0"/>
          <w14:ligatures w14:val="none"/>
        </w:rPr>
        <w:t>a work</w:t>
      </w:r>
      <w:proofErr w:type="gramEnd"/>
      <w:r>
        <w:rPr>
          <w:rFonts w:ascii="Times New Roman" w:eastAsia="Times New Roman" w:hAnsi="Times New Roman" w:cs="Times New Roman"/>
          <w:kern w:val="0"/>
          <w14:ligatures w14:val="none"/>
        </w:rPr>
        <w:t>. This principle, known as the idea/expression or fact/expression dichotomy, applies to all works of authorship.</w:t>
      </w:r>
      <w:r>
        <w:rPr>
          <w:rStyle w:val="FootnoteReference"/>
        </w:rPr>
        <w:footnoteReference w:id="18"/>
      </w:r>
    </w:p>
    <w:p w14:paraId="40D25A75" w14:textId="429A169A"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opinion signaled a renewed emphasis on authorship as creativity, not industriousness. In so doing,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re-anchored the concept of originality in expression</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 theme that recurs in today’s disputes over AI-generated material. </w:t>
      </w:r>
    </w:p>
    <w:p w14:paraId="4D1F7E9A" w14:textId="55249762"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impulse to protect investment persists, especially where creation is data-intensive, but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stands as a reminder that effort alone does not transform unprotectable information into protectable expression. The same reasoning applies to the engineers, programmers, and dataset curators who train generative models: no matter how extensive the data-gathering process, authorship remains a question of creative human choice, not mere accumulation. This continuity underscores copyright’s constitutional purpose: progress through creativity, not reward for effort. That same </w:t>
      </w:r>
      <w:r>
        <w:rPr>
          <w:rFonts w:ascii="Times New Roman" w:eastAsia="Times New Roman" w:hAnsi="Times New Roman" w:cs="Times New Roman"/>
          <w:kern w:val="0"/>
          <w14:ligatures w14:val="none"/>
        </w:rPr>
        <w:lastRenderedPageBreak/>
        <w:t>distinction between effort and creativity would soon reappear in debates over databases, as lawmakers confronted the limits of copyright’s reach in the information age.</w:t>
      </w:r>
    </w:p>
    <w:p w14:paraId="4C48A912"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12" w:name="_Toc220693043"/>
      <w:r>
        <w:rPr>
          <w:b/>
        </w:rPr>
        <w:t>3.2 The Database Debate and the Rejection of a Sui Generis Regime</w:t>
      </w:r>
      <w:bookmarkEnd w:id="12"/>
    </w:p>
    <w:p w14:paraId="1A8AEA30"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After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scholars and lobbyists debated whether the United States should create </w:t>
      </w:r>
      <w:r>
        <w:rPr>
          <w:rFonts w:ascii="Times New Roman" w:eastAsia="Times New Roman" w:hAnsi="Times New Roman" w:cs="Times New Roman"/>
          <w:iCs/>
          <w:kern w:val="0"/>
          <w14:ligatures w14:val="none"/>
        </w:rPr>
        <w:t xml:space="preserve">a </w:t>
      </w:r>
      <w:r>
        <w:rPr>
          <w:rFonts w:ascii="Times New Roman" w:eastAsia="Times New Roman" w:hAnsi="Times New Roman" w:cs="Times New Roman"/>
          <w:kern w:val="0"/>
          <w14:ligatures w14:val="none"/>
        </w:rPr>
        <w:t>sui generis right for databases, mirroring European proposals of the 1990s (modeled on the European Union Database Directive).</w:t>
      </w:r>
      <w:r>
        <w:rPr>
          <w:rStyle w:val="FootnoteReference"/>
        </w:rPr>
        <w:footnoteReference w:id="19"/>
      </w:r>
      <w:r>
        <w:rPr>
          <w:rFonts w:ascii="Times New Roman" w:eastAsia="Times New Roman" w:hAnsi="Times New Roman" w:cs="Times New Roman"/>
          <w:kern w:val="0"/>
          <w14:ligatures w14:val="none"/>
        </w:rPr>
        <w:t xml:space="preserve"> Congress considered, but ultimately declined to enact such a law, reasoning that copyright’s existing framework was flexible enough to protect genuinely creative compilations without monopolizing information. </w:t>
      </w:r>
    </w:p>
    <w:p w14:paraId="5E46F453"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decision to forgo a separate regime preserved a crucial equilibrium. It signaled that copyright’s building blocks were sturdy enough to absorb technological change. That same confidence underlies the Office’s current stance on AI. In </w:t>
      </w:r>
      <w:r>
        <w:rPr>
          <w:rFonts w:ascii="Times New Roman" w:hAnsi="Times New Roman"/>
          <w:smallCaps/>
          <w:kern w:val="0"/>
          <w14:ligatures w14:val="none"/>
        </w:rPr>
        <w:t>Copyright Office: Part 2</w:t>
      </w:r>
      <w:r>
        <w:rPr>
          <w:rFonts w:ascii="Times New Roman" w:eastAsia="Times New Roman" w:hAnsi="Times New Roman" w:cs="Times New Roman"/>
          <w:kern w:val="0"/>
          <w14:ligatures w14:val="none"/>
        </w:rPr>
        <w:t>, the Office stated that “the case has not been made for additional protection for AI-generated material beyond that provided by existing law. As an initial matter, because copyright requires human authorship, copyright law cannot be the basis of protection of works that do not satisfy that requirement.”</w:t>
      </w:r>
      <w:r>
        <w:rPr>
          <w:rStyle w:val="FootnoteReference"/>
        </w:rPr>
        <w:footnoteReference w:id="20"/>
      </w:r>
    </w:p>
    <w:p w14:paraId="6317F987"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Just as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prompted fears that databases would slip through the cracks of protection, AI has revived anxiety about whether creativity itself might outgrow copyright’s reach. In both situations, policymakers concluded that the better course was interpretive adaptation rather than legislative reinvention.</w:t>
      </w:r>
      <w:r>
        <w:rPr>
          <w:rStyle w:val="FootnoteReference"/>
        </w:rPr>
        <w:footnoteReference w:id="21"/>
      </w:r>
      <w:r>
        <w:rPr>
          <w:rFonts w:ascii="Times New Roman" w:eastAsia="Times New Roman" w:hAnsi="Times New Roman" w:cs="Times New Roman"/>
          <w:kern w:val="0"/>
          <w14:ligatures w14:val="none"/>
        </w:rPr>
        <w:t xml:space="preserve"> </w:t>
      </w:r>
    </w:p>
    <w:p w14:paraId="29CCA708"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13" w:name="_Toc220693044"/>
      <w:r>
        <w:rPr>
          <w:b/>
        </w:rPr>
        <w:t>3.3 Originality, Data Curation, and the AI Analogy</w:t>
      </w:r>
      <w:bookmarkEnd w:id="13"/>
    </w:p>
    <w:p w14:paraId="2B30A278" w14:textId="61211CEC"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AI training datasets pose the same conceptual problem that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resolved. Massive amounts of images, text, and music are not protectable in and of themselves; only the original selection and</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arrangement</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of such data</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if creative</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could merit protection. Curation of data and datasets may involve judgment about relevance or quality, but unless those judgments reflect expressive choices, the result is factual, not creative. The Office extends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’s reasoning to the AI context, emphasizing that creativity</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not computation</w:t>
      </w:r>
      <w:r w:rsidR="00905B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remains the touchstone of authorship.</w:t>
      </w:r>
      <w:r>
        <w:rPr>
          <w:rStyle w:val="FootnoteReference"/>
        </w:rPr>
        <w:footnoteReference w:id="22"/>
      </w:r>
    </w:p>
    <w:p w14:paraId="03D590CB" w14:textId="0836617C"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From this perspective, the output of an AI system built on such data may reflect a new synthesis but not a new exception to copyright. AI models learn from prior works the way human artists internalize genre conventions: they imitate structure, not expression. The originality test that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refined thus becomes the gatekeeper for AI authorship. If a human makes meaningful creative </w:t>
      </w:r>
      <w:r>
        <w:rPr>
          <w:rFonts w:ascii="Times New Roman" w:eastAsia="Times New Roman" w:hAnsi="Times New Roman" w:cs="Times New Roman"/>
          <w:kern w:val="0"/>
          <w14:ligatures w14:val="none"/>
        </w:rPr>
        <w:lastRenderedPageBreak/>
        <w:t>choices in selecting or prompting the model, the resulting work may embody authorship; if not, it is closer to an unprotectable fact pattern</w:t>
      </w:r>
      <w:r w:rsidR="008B70C2">
        <w:rPr>
          <w:rFonts w:ascii="Times New Roman" w:eastAsia="Times New Roman" w:hAnsi="Times New Roman" w:cs="Times New Roman"/>
          <w:kern w:val="0"/>
          <w14:ligatures w14:val="none"/>
        </w:rPr>
        <w:t>, as discussed further in Part 4</w:t>
      </w:r>
      <w:r>
        <w:rPr>
          <w:rFonts w:ascii="Times New Roman" w:eastAsia="Times New Roman" w:hAnsi="Times New Roman" w:cs="Times New Roman"/>
          <w:kern w:val="0"/>
          <w14:ligatures w14:val="none"/>
        </w:rPr>
        <w:t xml:space="preserve">. </w:t>
      </w:r>
    </w:p>
    <w:p w14:paraId="33205BE4"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principle also illuminates why proposals for expansive rights in data or algorithms risk undermining copyright’s balance. Facts, processes, and systems have long been excluded precisely because they serve as the building materials of creativity.</w:t>
      </w:r>
      <w:r>
        <w:rPr>
          <w:rStyle w:val="FootnoteReference"/>
        </w:rPr>
        <w:footnoteReference w:id="23"/>
      </w:r>
      <w:r>
        <w:rPr>
          <w:rFonts w:ascii="Times New Roman" w:eastAsia="Times New Roman" w:hAnsi="Times New Roman" w:cs="Times New Roman"/>
          <w:kern w:val="0"/>
          <w14:ligatures w14:val="none"/>
        </w:rPr>
        <w:t xml:space="preserve"> Extending proprietary claims over facts or algorithms would erode the commons upon which creativity depends.</w:t>
      </w:r>
    </w:p>
    <w:p w14:paraId="7B7210BE" w14:textId="77777777" w:rsidR="00A75C8E" w:rsidRDefault="004C556B" w:rsidP="008372DB">
      <w:pPr>
        <w:spacing w:beforeAutospacing="1" w:afterAutospacing="1" w:line="240" w:lineRule="auto"/>
        <w:jc w:val="both"/>
        <w:outlineLvl w:val="1"/>
        <w:rPr>
          <w:rFonts w:ascii="Times New Roman" w:eastAsia="Times New Roman" w:hAnsi="Times New Roman" w:cs="Times New Roman"/>
          <w:b/>
          <w:bCs/>
          <w:kern w:val="0"/>
          <w:sz w:val="27"/>
          <w:szCs w:val="27"/>
          <w14:ligatures w14:val="none"/>
        </w:rPr>
      </w:pPr>
      <w:bookmarkStart w:id="14" w:name="_Toc220693045"/>
      <w:bookmarkStart w:id="15" w:name="_Toc211877764"/>
      <w:r>
        <w:rPr>
          <w:b/>
        </w:rPr>
        <w:t>4 THE HUMAN AUTHORSHIP REQUIREMENT</w:t>
      </w:r>
      <w:bookmarkEnd w:id="14"/>
      <w:bookmarkEnd w:id="15"/>
    </w:p>
    <w:p w14:paraId="61F93DD6"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Authorship has long been a cornerstone of copyright law. The principle was first articulated in </w:t>
      </w:r>
      <w:r>
        <w:rPr>
          <w:rFonts w:ascii="Times New Roman" w:eastAsia="Times New Roman" w:hAnsi="Times New Roman" w:cs="Times New Roman"/>
          <w:i/>
          <w:iCs/>
          <w:kern w:val="0"/>
          <w14:ligatures w14:val="none"/>
        </w:rPr>
        <w:t>Burrow-Giles</w:t>
      </w:r>
      <w:r>
        <w:rPr>
          <w:rFonts w:ascii="Times New Roman" w:eastAsia="Times New Roman" w:hAnsi="Times New Roman" w:cs="Times New Roman"/>
          <w:kern w:val="0"/>
          <w14:ligatures w14:val="none"/>
        </w:rPr>
        <w:t>, where the Court upheld a photographer’s claim that his portrait of Oscar Wilde was a product of creative authorship.</w:t>
      </w:r>
      <w:r>
        <w:rPr>
          <w:rStyle w:val="FootnoteReference"/>
        </w:rPr>
        <w:footnoteReference w:id="24"/>
      </w:r>
      <w:r>
        <w:rPr>
          <w:rFonts w:ascii="Times New Roman" w:eastAsia="Times New Roman" w:hAnsi="Times New Roman" w:cs="Times New Roman"/>
          <w:kern w:val="0"/>
          <w14:ligatures w14:val="none"/>
        </w:rPr>
        <w:t xml:space="preserve"> The decision emphasized that the photographer’s choices of pose, lighting, and composition transformed a mechanical process into protected human expression.</w:t>
      </w:r>
      <w:r>
        <w:rPr>
          <w:rStyle w:val="FootnoteReference"/>
        </w:rPr>
        <w:footnoteReference w:id="25"/>
      </w:r>
    </w:p>
    <w:p w14:paraId="31C61B7A"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More than a century later, the same question reemerged in the age of artificial intelligence. In </w:t>
      </w:r>
      <w:r>
        <w:rPr>
          <w:rFonts w:ascii="Times New Roman" w:eastAsia="Times New Roman" w:hAnsi="Times New Roman" w:cs="Times New Roman"/>
          <w:i/>
          <w:iCs/>
          <w:kern w:val="0"/>
          <w14:ligatures w14:val="none"/>
        </w:rPr>
        <w:t>Thaler v. Perlmutter</w:t>
      </w:r>
      <w:r>
        <w:rPr>
          <w:rFonts w:ascii="Times New Roman" w:eastAsia="Times New Roman" w:hAnsi="Times New Roman" w:cs="Times New Roman"/>
          <w:kern w:val="0"/>
          <w14:ligatures w14:val="none"/>
        </w:rPr>
        <w:t>, the plaintiff sought to register an artwork generated entirely by an AI system known as “Creativity Machine,” listing the computer as the author.</w:t>
      </w:r>
      <w:r>
        <w:rPr>
          <w:rStyle w:val="FootnoteReference"/>
        </w:rPr>
        <w:footnoteReference w:id="26"/>
      </w:r>
      <w:r>
        <w:rPr>
          <w:rFonts w:ascii="Times New Roman" w:eastAsia="Times New Roman" w:hAnsi="Times New Roman" w:cs="Times New Roman"/>
          <w:kern w:val="0"/>
          <w14:ligatures w14:val="none"/>
        </w:rPr>
        <w:t xml:space="preserve"> The Office denied registration on the ground that copyright protection extends only to human creators, and the federal district court affirmed.</w:t>
      </w:r>
      <w:r>
        <w:rPr>
          <w:rStyle w:val="FootnoteReference"/>
        </w:rPr>
        <w:footnoteReference w:id="27"/>
      </w:r>
      <w:r>
        <w:rPr>
          <w:rFonts w:ascii="Times New Roman" w:eastAsia="Times New Roman" w:hAnsi="Times New Roman" w:cs="Times New Roman"/>
          <w:kern w:val="0"/>
          <w14:ligatures w14:val="none"/>
        </w:rPr>
        <w:t xml:space="preserve"> The decision confirms what </w:t>
      </w:r>
      <w:r>
        <w:rPr>
          <w:rFonts w:ascii="Times New Roman" w:eastAsia="Times New Roman" w:hAnsi="Times New Roman" w:cs="Times New Roman"/>
          <w:i/>
          <w:iCs/>
          <w:kern w:val="0"/>
          <w14:ligatures w14:val="none"/>
        </w:rPr>
        <w:t>Burrow-Giles</w:t>
      </w:r>
      <w:r>
        <w:rPr>
          <w:rFonts w:ascii="Times New Roman" w:eastAsia="Times New Roman" w:hAnsi="Times New Roman" w:cs="Times New Roman"/>
          <w:kern w:val="0"/>
          <w14:ligatures w14:val="none"/>
        </w:rPr>
        <w:t xml:space="preserve"> had long implied: the human element is not optional but essential.</w:t>
      </w:r>
      <w:r>
        <w:rPr>
          <w:rStyle w:val="FootnoteReference"/>
        </w:rPr>
        <w:footnoteReference w:id="28"/>
      </w:r>
    </w:p>
    <w:p w14:paraId="1818DDE8"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related boundary appears in the “monkey selfie” case, </w:t>
      </w:r>
      <w:r>
        <w:rPr>
          <w:rFonts w:ascii="Times New Roman" w:eastAsia="Times New Roman" w:hAnsi="Times New Roman" w:cs="Times New Roman"/>
          <w:i/>
          <w:iCs/>
          <w:kern w:val="0"/>
          <w14:ligatures w14:val="none"/>
        </w:rPr>
        <w:t>Naruto v. Slater</w:t>
      </w:r>
      <w:r>
        <w:rPr>
          <w:rFonts w:ascii="Times New Roman" w:eastAsia="Times New Roman" w:hAnsi="Times New Roman" w:cs="Times New Roman"/>
          <w:kern w:val="0"/>
          <w14:ligatures w14:val="none"/>
        </w:rPr>
        <w:t>, where the Ninth Circuit held that animals lack statutory standing to sue under the Copyright Act.</w:t>
      </w:r>
      <w:r>
        <w:rPr>
          <w:rStyle w:val="FootnoteReference"/>
        </w:rPr>
        <w:footnoteReference w:id="29"/>
      </w:r>
      <w:r>
        <w:rPr>
          <w:rFonts w:ascii="Times New Roman" w:eastAsia="Times New Roman" w:hAnsi="Times New Roman" w:cs="Times New Roman"/>
          <w:kern w:val="0"/>
          <w14:ligatures w14:val="none"/>
        </w:rPr>
        <w:t xml:space="preserve"> While the facts are colorful, the doctrinal lesson is simple: U.S. copyright presupposes a natural person behind the work.</w:t>
      </w:r>
    </w:p>
    <w:p w14:paraId="0D05C4CE"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rPr>
        <w:t xml:space="preserve">The Office’s first major statement came in March 2023 with its </w:t>
      </w:r>
      <w:r>
        <w:rPr>
          <w:rFonts w:ascii="Times New Roman" w:eastAsia="Times New Roman" w:hAnsi="Times New Roman" w:cs="Times New Roman"/>
          <w:i/>
          <w:iCs/>
        </w:rPr>
        <w:t xml:space="preserve">Copyright </w:t>
      </w:r>
      <w:r>
        <w:rPr>
          <w:rFonts w:ascii="Times New Roman" w:eastAsia="Times New Roman" w:hAnsi="Times New Roman" w:cs="Times New Roman"/>
          <w:bCs/>
          <w:i/>
          <w:iCs/>
        </w:rPr>
        <w:t>Registration Guidance</w:t>
      </w:r>
      <w:r>
        <w:rPr>
          <w:rFonts w:ascii="Times New Roman" w:eastAsia="Times New Roman" w:hAnsi="Times New Roman" w:cs="Times New Roman"/>
          <w:bCs/>
        </w:rPr>
        <w:t>.</w:t>
      </w:r>
      <w:r>
        <w:rPr>
          <w:rStyle w:val="FootnoteReference"/>
        </w:rPr>
        <w:footnoteReference w:id="30"/>
      </w:r>
      <w:r>
        <w:rPr>
          <w:rFonts w:ascii="Times New Roman" w:eastAsia="Times New Roman" w:hAnsi="Times New Roman" w:cs="Times New Roman"/>
        </w:rPr>
        <w:t xml:space="preserve"> Issued after the </w:t>
      </w:r>
      <w:r>
        <w:rPr>
          <w:rFonts w:ascii="Times New Roman" w:eastAsia="Times New Roman" w:hAnsi="Times New Roman" w:cs="Times New Roman"/>
          <w:i/>
          <w:iCs/>
        </w:rPr>
        <w:t>Thaler</w:t>
      </w:r>
      <w:r>
        <w:rPr>
          <w:rFonts w:ascii="Times New Roman" w:eastAsia="Times New Roman" w:hAnsi="Times New Roman" w:cs="Times New Roman"/>
        </w:rPr>
        <w:t xml:space="preserve"> litigation, the document confirmed that copyright subsists only in the human-authored portions of a work. Applicants must disclose any AI-generated material and may claim protection only for their own creative contributions—such as the selection, coordination, or modification of AI outputs.</w:t>
      </w:r>
      <w:r>
        <w:rPr>
          <w:rStyle w:val="FootnoteReference"/>
        </w:rPr>
        <w:footnoteReference w:id="31"/>
      </w:r>
      <w:r>
        <w:rPr>
          <w:rFonts w:ascii="Times New Roman" w:eastAsia="Times New Roman" w:hAnsi="Times New Roman" w:cs="Times New Roman"/>
        </w:rPr>
        <w:t xml:space="preserve"> They must disclaim any portion of the work that does not meet the </w:t>
      </w:r>
      <w:r>
        <w:rPr>
          <w:rFonts w:ascii="Times New Roman" w:eastAsia="Times New Roman" w:hAnsi="Times New Roman" w:cs="Times New Roman"/>
        </w:rPr>
        <w:lastRenderedPageBreak/>
        <w:t>human-authored standard.</w:t>
      </w:r>
      <w:r>
        <w:rPr>
          <w:rStyle w:val="FootnoteReference"/>
        </w:rPr>
        <w:footnoteReference w:id="32"/>
      </w:r>
      <w:r>
        <w:rPr>
          <w:rFonts w:ascii="Times New Roman" w:eastAsia="Times New Roman" w:hAnsi="Times New Roman" w:cs="Times New Roman"/>
        </w:rPr>
        <w:t xml:space="preserve"> The </w:t>
      </w:r>
      <w:r>
        <w:rPr>
          <w:rFonts w:ascii="Times New Roman" w:eastAsia="Times New Roman" w:hAnsi="Times New Roman" w:cs="Times New Roman"/>
          <w:kern w:val="0"/>
          <w14:ligatures w14:val="none"/>
        </w:rPr>
        <w:t>Office clearly stated: “it is well-established that copyright can protect only material that is the product of human creativity. Most fundamentally, the term ‘author,’ which is used in both the Constitution and the Copyright Act, excludes non-humans.”</w:t>
      </w:r>
      <w:r>
        <w:rPr>
          <w:rStyle w:val="FootnoteReference"/>
        </w:rPr>
        <w:footnoteReference w:id="33"/>
      </w:r>
      <w:r>
        <w:rPr>
          <w:rFonts w:ascii="Times New Roman" w:eastAsia="Times New Roman" w:hAnsi="Times New Roman" w:cs="Times New Roman"/>
          <w:kern w:val="0"/>
          <w14:ligatures w14:val="none"/>
        </w:rPr>
        <w:t xml:space="preserve"> It further clarified that “[t]he term ‘expressive material’ is used here to refer to AI output that, if it had been created by a human, would fall within the subject matter of copyright as defined in section 102 of the [Copyright] Act.”</w:t>
      </w:r>
      <w:r>
        <w:rPr>
          <w:rStyle w:val="FootnoteReference"/>
        </w:rPr>
        <w:footnoteReference w:id="34"/>
      </w:r>
    </w:p>
    <w:p w14:paraId="315BDD2B" w14:textId="74A095D5" w:rsidR="00A75C8E" w:rsidRDefault="004C556B" w:rsidP="008372DB">
      <w:pPr>
        <w:spacing w:after="0" w:line="240" w:lineRule="auto"/>
        <w:jc w:val="both"/>
        <w:rPr>
          <w:rFonts w:ascii="Times New Roman" w:hAnsi="Times New Roman" w:cs="Times New Roman"/>
        </w:rPr>
      </w:pPr>
      <w:r>
        <w:rPr>
          <w:rFonts w:ascii="Times New Roman" w:eastAsia="Times New Roman" w:hAnsi="Times New Roman" w:cs="Times New Roman"/>
          <w:kern w:val="0"/>
          <w14:ligatures w14:val="none"/>
        </w:rPr>
        <w:t>As AI tools become more sophisticated, separating the human contribution from the machine contribution grows harder. Many contemporary works reflect collaboration between user input and machine generation. Applicants for copyright will have to comply with the Office’s disclosure-and-disclaimer approach that protects human contributions while denying protection to purely machine-generated portions</w:t>
      </w:r>
      <w:r w:rsidR="008B70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reinforcing that technology may be a tool, but not the author.</w:t>
      </w:r>
      <w:r>
        <w:rPr>
          <w:rStyle w:val="FootnoteReference"/>
        </w:rPr>
        <w:footnoteReference w:id="35"/>
      </w:r>
      <w:r>
        <w:rPr>
          <w:rFonts w:ascii="Times New Roman" w:eastAsia="Times New Roman" w:hAnsi="Times New Roman" w:cs="Times New Roman"/>
          <w:kern w:val="0"/>
          <w14:ligatures w14:val="none"/>
        </w:rPr>
        <w:t xml:space="preserve"> </w:t>
      </w:r>
    </w:p>
    <w:p w14:paraId="2C40754B" w14:textId="77777777" w:rsidR="00A75C8E" w:rsidRDefault="00A75C8E" w:rsidP="008372DB">
      <w:pPr>
        <w:spacing w:after="0" w:line="240" w:lineRule="auto"/>
        <w:jc w:val="both"/>
        <w:rPr>
          <w:rFonts w:ascii="Times New Roman" w:hAnsi="Times New Roman" w:cs="Times New Roman"/>
        </w:rPr>
      </w:pPr>
    </w:p>
    <w:p w14:paraId="3FE07A57" w14:textId="77777777"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t xml:space="preserve">Concurrent with and subsequent to the </w:t>
      </w:r>
      <w:r>
        <w:rPr>
          <w:rFonts w:ascii="Times New Roman" w:hAnsi="Times New Roman"/>
        </w:rPr>
        <w:t>Copyright Registration Guidance</w:t>
      </w:r>
      <w:r>
        <w:rPr>
          <w:rFonts w:ascii="Times New Roman" w:hAnsi="Times New Roman" w:cs="Times New Roman"/>
        </w:rPr>
        <w:t>, the Office and the Copyright Review Board (“Board”) modified or rejected several claims for copyright registration. In February 2023, the Office carefully limited the scope of a copyright application for a graphic novel, granting copyright to the author for the text of the work as well as the selection, coordination, arrangement of the written and visual elements, but denying protection for the images that were generated by Midjourney technology because they were not the product of human authorship.</w:t>
      </w:r>
      <w:r>
        <w:rPr>
          <w:rStyle w:val="FootnoteReference"/>
        </w:rPr>
        <w:footnoteReference w:id="36"/>
      </w:r>
      <w:r>
        <w:rPr>
          <w:rFonts w:ascii="Times New Roman" w:hAnsi="Times New Roman" w:cs="Times New Roman"/>
        </w:rPr>
        <w:t xml:space="preserve"> The Office stated that “[b]</w:t>
      </w:r>
      <w:proofErr w:type="spellStart"/>
      <w:r>
        <w:rPr>
          <w:rFonts w:ascii="Times New Roman" w:hAnsi="Times New Roman" w:cs="Times New Roman"/>
        </w:rPr>
        <w:t>ecause</w:t>
      </w:r>
      <w:proofErr w:type="spellEnd"/>
      <w:r>
        <w:rPr>
          <w:rFonts w:ascii="Times New Roman" w:hAnsi="Times New Roman" w:cs="Times New Roman"/>
        </w:rPr>
        <w:t xml:space="preserve"> the current registration for the Work does not disclaim its Midjourney-generated content, we intend to cancel the original certificate issued to [the author] and issue a new one covering only the expressive material that she created.”</w:t>
      </w:r>
      <w:r>
        <w:rPr>
          <w:rStyle w:val="FootnoteReference"/>
        </w:rPr>
        <w:footnoteReference w:id="37"/>
      </w:r>
    </w:p>
    <w:p w14:paraId="21C22902"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September 2023, the Board, finding that a work contained more than a de minimis amount of content generated by AI, rejected a registration for copyright because the applicant refused to disclaim the AI-generated material.</w:t>
      </w:r>
      <w:r>
        <w:rPr>
          <w:rStyle w:val="FootnoteReference"/>
        </w:rPr>
        <w:footnoteReference w:id="38"/>
      </w:r>
      <w:r>
        <w:rPr>
          <w:rFonts w:ascii="Times New Roman" w:eastAsia="Times New Roman" w:hAnsi="Times New Roman" w:cs="Times New Roman"/>
          <w:kern w:val="0"/>
          <w14:ligatures w14:val="none"/>
        </w:rPr>
        <w:t xml:space="preserve"> In December 2023, the Board refused to register a work whose application listed two authors, one human and one an AI painting app, stating that the work “does not contain sufficient human authorship necessary to sustain a claim to copyright.”</w:t>
      </w:r>
      <w:r>
        <w:rPr>
          <w:rStyle w:val="FootnoteReference"/>
        </w:rPr>
        <w:footnoteReference w:id="39"/>
      </w:r>
      <w:r>
        <w:rPr>
          <w:rFonts w:ascii="Times New Roman" w:eastAsia="Times New Roman" w:hAnsi="Times New Roman" w:cs="Times New Roman"/>
          <w:kern w:val="0"/>
          <w14:ligatures w14:val="none"/>
        </w:rPr>
        <w:t xml:space="preserve"> </w:t>
      </w:r>
    </w:p>
    <w:p w14:paraId="30ABFD8E" w14:textId="77777777" w:rsidR="00A75C8E" w:rsidRDefault="004C556B" w:rsidP="008372DB">
      <w:pPr>
        <w:spacing w:beforeAutospacing="1" w:afterAutospacing="1" w:line="240" w:lineRule="auto"/>
        <w:jc w:val="both"/>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 xml:space="preserve">A major issue that has yet to fully evolve was addressed extensively in </w:t>
      </w:r>
      <w:r>
        <w:rPr>
          <w:rFonts w:ascii="Times New Roman" w:hAnsi="Times New Roman"/>
          <w:smallCaps/>
          <w:kern w:val="0"/>
          <w14:ligatures w14:val="none"/>
        </w:rPr>
        <w:t>Copyright Office: Part 2</w:t>
      </w:r>
      <w:r>
        <w:rPr>
          <w:rFonts w:ascii="Times New Roman" w:eastAsia="Times New Roman" w:hAnsi="Times New Roman" w:cs="Times New Roman"/>
          <w:kern w:val="0"/>
          <w14:ligatures w14:val="none"/>
        </w:rPr>
        <w:t>.</w:t>
      </w:r>
      <w:r>
        <w:rPr>
          <w:rStyle w:val="FootnoteReference"/>
        </w:rPr>
        <w:footnoteReference w:id="40"/>
      </w:r>
      <w:r>
        <w:rPr>
          <w:rFonts w:ascii="Times New Roman" w:eastAsia="Times New Roman" w:hAnsi="Times New Roman" w:cs="Times New Roman"/>
          <w:kern w:val="0"/>
          <w14:ligatures w14:val="none"/>
        </w:rPr>
        <w:t xml:space="preserve"> After reviewing many comments to its </w:t>
      </w:r>
      <w:r>
        <w:rPr>
          <w:rFonts w:ascii="Times New Roman" w:hAnsi="Times New Roman"/>
          <w:kern w:val="0"/>
          <w14:ligatures w14:val="none"/>
        </w:rPr>
        <w:t>NOI</w:t>
      </w:r>
      <w:r>
        <w:rPr>
          <w:rFonts w:ascii="Times New Roman" w:eastAsia="Times New Roman" w:hAnsi="Times New Roman" w:cs="Times New Roman"/>
          <w:kern w:val="0"/>
          <w14:ligatures w14:val="none"/>
        </w:rPr>
        <w:t xml:space="preserve">, the Office noted that prompt design alone does </w:t>
      </w:r>
      <w:r>
        <w:rPr>
          <w:rFonts w:ascii="Times New Roman" w:eastAsia="Times New Roman" w:hAnsi="Times New Roman" w:cs="Times New Roman"/>
          <w:kern w:val="0"/>
          <w14:ligatures w14:val="none"/>
        </w:rPr>
        <w:lastRenderedPageBreak/>
        <w:t xml:space="preserve">not necessarily make a user an “author,” but that iterative, creative prompting and curation </w:t>
      </w:r>
      <w:r>
        <w:rPr>
          <w:rFonts w:ascii="Times New Roman" w:eastAsia="Times New Roman" w:hAnsi="Times New Roman" w:cs="Times New Roman"/>
          <w:i/>
          <w:iCs/>
          <w:kern w:val="0"/>
          <w14:ligatures w14:val="none"/>
        </w:rPr>
        <w:t>may</w:t>
      </w:r>
      <w:r>
        <w:rPr>
          <w:rFonts w:ascii="Times New Roman" w:eastAsia="Times New Roman" w:hAnsi="Times New Roman" w:cs="Times New Roman"/>
          <w:kern w:val="0"/>
          <w14:ligatures w14:val="none"/>
        </w:rPr>
        <w:t xml:space="preserve"> amount to the human intellectual conception required for protection.</w:t>
      </w:r>
      <w:r>
        <w:rPr>
          <w:rStyle w:val="FootnoteReference"/>
        </w:rPr>
        <w:footnoteReference w:id="41"/>
      </w:r>
    </w:p>
    <w:p w14:paraId="512B0388"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International approaches to authorship vary significantly. The United Kingdom, in a law enacted before the development of AI, recognizes protection for works “generated by computer in circumstances such that there is no human author of the work.”</w:t>
      </w:r>
      <w:r>
        <w:rPr>
          <w:rStyle w:val="FootnoteReference"/>
        </w:rPr>
        <w:footnoteReference w:id="42"/>
      </w:r>
      <w:r>
        <w:rPr>
          <w:rFonts w:ascii="Times New Roman" w:eastAsia="Times New Roman" w:hAnsi="Times New Roman" w:cs="Times New Roman"/>
          <w:kern w:val="0"/>
          <w14:ligatures w14:val="none"/>
        </w:rPr>
        <w:t xml:space="preserve"> China recognized copyright in a case where an author made extensive prompts and modifications to the output of an AI image-generator, to the extent that the image produced was the result of the author’s “intellectual achievements.”</w:t>
      </w:r>
      <w:r>
        <w:rPr>
          <w:rStyle w:val="FootnoteReference"/>
        </w:rPr>
        <w:footnoteReference w:id="43"/>
      </w:r>
      <w:r>
        <w:rPr>
          <w:rFonts w:ascii="Times New Roman" w:eastAsia="Times New Roman" w:hAnsi="Times New Roman" w:cs="Times New Roman"/>
          <w:kern w:val="0"/>
          <w14:ligatures w14:val="none"/>
        </w:rPr>
        <w:t xml:space="preserve"> The European Union states that AI-generated content may be eligible for copyright “only if the </w:t>
      </w:r>
      <w:r>
        <w:rPr>
          <w:rFonts w:ascii="Times New Roman" w:eastAsia="Times New Roman" w:hAnsi="Times New Roman" w:cs="Times New Roman"/>
          <w:iCs/>
          <w:kern w:val="0"/>
          <w14:ligatures w14:val="none"/>
        </w:rPr>
        <w:t xml:space="preserve">human input in </w:t>
      </w:r>
      <w:r>
        <w:rPr>
          <w:rFonts w:ascii="Times New Roman" w:eastAsia="Times New Roman" w:hAnsi="Times New Roman" w:cs="Times New Roman"/>
          <w:kern w:val="0"/>
          <w14:ligatures w14:val="none"/>
        </w:rPr>
        <w:t>[</w:t>
      </w:r>
      <w:r>
        <w:rPr>
          <w:rFonts w:ascii="Times New Roman" w:eastAsia="Times New Roman" w:hAnsi="Times New Roman" w:cs="Times New Roman"/>
          <w:iCs/>
          <w:kern w:val="0"/>
          <w14:ligatures w14:val="none"/>
        </w:rPr>
        <w:t>the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Cs/>
          <w:kern w:val="0"/>
          <w14:ligatures w14:val="none"/>
        </w:rPr>
        <w:t>creative process was significant</w:t>
      </w:r>
      <w:r>
        <w:rPr>
          <w:rFonts w:ascii="Times New Roman" w:eastAsia="Times New Roman" w:hAnsi="Times New Roman" w:cs="Times New Roman"/>
          <w:kern w:val="0"/>
          <w14:ligatures w14:val="none"/>
        </w:rPr>
        <w:t>.”</w:t>
      </w:r>
      <w:r>
        <w:rPr>
          <w:rStyle w:val="FootnoteReference"/>
        </w:rPr>
        <w:footnoteReference w:id="44"/>
      </w:r>
      <w:r>
        <w:rPr>
          <w:rFonts w:ascii="Times New Roman" w:eastAsia="Times New Roman" w:hAnsi="Times New Roman" w:cs="Times New Roman"/>
          <w:kern w:val="0"/>
          <w14:ligatures w14:val="none"/>
        </w:rPr>
        <w:t xml:space="preserve"> </w:t>
      </w:r>
    </w:p>
    <w:p w14:paraId="7A33552A" w14:textId="77777777" w:rsidR="00A75C8E" w:rsidRDefault="004C556B" w:rsidP="008372DB">
      <w:pPr>
        <w:spacing w:beforeAutospacing="1" w:afterAutospacing="1" w:line="240" w:lineRule="auto"/>
        <w:jc w:val="both"/>
        <w:outlineLvl w:val="1"/>
        <w:rPr>
          <w:b/>
        </w:rPr>
      </w:pPr>
      <w:bookmarkStart w:id="18" w:name="_Toc220693046"/>
      <w:r>
        <w:rPr>
          <w:b/>
        </w:rPr>
        <w:t>5 SUBSTANTIAL SIMILARITY AND THE PROBLEM OF STYLE</w:t>
      </w:r>
      <w:bookmarkEnd w:id="18"/>
    </w:p>
    <w:p w14:paraId="0FEE7518" w14:textId="06B2DEE9" w:rsidR="00AC68A8" w:rsidRPr="00C65EB5" w:rsidRDefault="008A5160" w:rsidP="008372DB">
      <w:pPr>
        <w:spacing w:beforeAutospacing="1" w:afterAutospacing="1" w:line="240" w:lineRule="auto"/>
        <w:jc w:val="both"/>
        <w:outlineLvl w:val="1"/>
        <w:rPr>
          <w:rFonts w:ascii="Times New Roman" w:eastAsia="Times New Roman" w:hAnsi="Times New Roman" w:cs="Times New Roman"/>
          <w:bCs/>
          <w:kern w:val="0"/>
          <w:sz w:val="36"/>
          <w:szCs w:val="36"/>
          <w14:ligatures w14:val="none"/>
        </w:rPr>
      </w:pPr>
      <w:r>
        <w:rPr>
          <w:rFonts w:ascii="Times New Roman" w:hAnsi="Times New Roman" w:cs="Times New Roman"/>
          <w:bCs/>
        </w:rPr>
        <w:t xml:space="preserve">Another age-old copyright question involves how much copying of a work is permitted before it becomes infringement. Section 5.1 explores this issue from some early computer cases through a recent case involving a tattoo. Section 5.2 continues with the discussion involving some </w:t>
      </w:r>
      <w:r w:rsidR="00C02E85">
        <w:rPr>
          <w:rFonts w:ascii="Times New Roman" w:hAnsi="Times New Roman" w:cs="Times New Roman"/>
          <w:bCs/>
        </w:rPr>
        <w:t xml:space="preserve">recent, </w:t>
      </w:r>
      <w:r>
        <w:rPr>
          <w:rFonts w:ascii="Times New Roman" w:hAnsi="Times New Roman" w:cs="Times New Roman"/>
          <w:bCs/>
        </w:rPr>
        <w:t>well-publicized music cases.</w:t>
      </w:r>
    </w:p>
    <w:p w14:paraId="1E572784"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19" w:name="_Toc220693047"/>
      <w:r>
        <w:rPr>
          <w:b/>
        </w:rPr>
        <w:t>5.1 The Emergence of the “Look and Feel” Doctrine</w:t>
      </w:r>
      <w:bookmarkEnd w:id="19"/>
    </w:p>
    <w:p w14:paraId="1093C527" w14:textId="11327AB8"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concept of </w:t>
      </w:r>
      <w:r>
        <w:rPr>
          <w:rFonts w:ascii="Times New Roman" w:eastAsia="Times New Roman" w:hAnsi="Times New Roman" w:cs="Times New Roman"/>
          <w:i/>
          <w:iCs/>
          <w:kern w:val="0"/>
          <w14:ligatures w14:val="none"/>
        </w:rPr>
        <w:t>substantial similarity</w:t>
      </w:r>
      <w:r w:rsidR="008B70C2" w:rsidRPr="008372DB">
        <w:rPr>
          <w:rFonts w:ascii="Times New Roman" w:eastAsia="Times New Roman" w:hAnsi="Times New Roman" w:cs="Times New Roman"/>
          <w:kern w:val="0"/>
          <w14:ligatures w14:val="none"/>
        </w:rPr>
        <w:t>,</w:t>
      </w:r>
      <w:r w:rsidR="008B70C2">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kern w:val="0"/>
          <w14:ligatures w14:val="none"/>
        </w:rPr>
        <w:t>the measure of how much copying is “too much</w:t>
      </w:r>
      <w:r w:rsidR="008B70C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w:t>
      </w:r>
      <w:r w:rsidR="008B70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has challenged courts since the beginning of modern copyright jurisprudence. While </w:t>
      </w:r>
      <w:r>
        <w:rPr>
          <w:rFonts w:ascii="Times New Roman" w:eastAsia="Times New Roman" w:hAnsi="Times New Roman" w:cs="Times New Roman"/>
          <w:i/>
          <w:iCs/>
          <w:kern w:val="0"/>
          <w14:ligatures w14:val="none"/>
        </w:rPr>
        <w:t>Baker</w:t>
      </w:r>
      <w:r>
        <w:rPr>
          <w:rFonts w:ascii="Times New Roman" w:eastAsia="Times New Roman" w:hAnsi="Times New Roman" w:cs="Times New Roman"/>
          <w:kern w:val="0"/>
          <w14:ligatures w14:val="none"/>
        </w:rPr>
        <w:t xml:space="preserve"> drew the boundary between idea and expression, it was </w:t>
      </w:r>
      <w:r>
        <w:rPr>
          <w:rFonts w:ascii="Times New Roman" w:eastAsia="Times New Roman" w:hAnsi="Times New Roman" w:cs="Times New Roman"/>
          <w:i/>
          <w:iCs/>
          <w:kern w:val="0"/>
          <w14:ligatures w14:val="none"/>
        </w:rPr>
        <w:t>Atari, Inc. v. North American Philips Consumer Electronics Corp.</w:t>
      </w:r>
      <w:r>
        <w:rPr>
          <w:rFonts w:ascii="Times New Roman" w:eastAsia="Times New Roman" w:hAnsi="Times New Roman" w:cs="Times New Roman"/>
          <w:kern w:val="0"/>
          <w14:ligatures w14:val="none"/>
        </w:rPr>
        <w:t xml:space="preserve"> that gave practical shape to the inquiry.</w:t>
      </w:r>
      <w:r>
        <w:rPr>
          <w:rStyle w:val="FootnoteReference"/>
        </w:rPr>
        <w:footnoteReference w:id="45"/>
      </w:r>
      <w:r>
        <w:rPr>
          <w:rFonts w:ascii="Times New Roman" w:eastAsia="Times New Roman" w:hAnsi="Times New Roman" w:cs="Times New Roman"/>
          <w:kern w:val="0"/>
          <w14:ligatures w14:val="none"/>
        </w:rPr>
        <w:t xml:space="preserve"> In that case, the Seventh Circuit held that the video game </w:t>
      </w:r>
      <w:r>
        <w:rPr>
          <w:rFonts w:ascii="Times New Roman" w:eastAsia="Times New Roman" w:hAnsi="Times New Roman" w:cs="Times New Roman"/>
          <w:i/>
          <w:iCs/>
          <w:kern w:val="0"/>
          <w14:ligatures w14:val="none"/>
        </w:rPr>
        <w:t>K.C. Munchkin</w:t>
      </w:r>
      <w:r>
        <w:rPr>
          <w:rFonts w:ascii="Times New Roman" w:eastAsia="Times New Roman" w:hAnsi="Times New Roman" w:cs="Times New Roman"/>
          <w:kern w:val="0"/>
          <w14:ligatures w14:val="none"/>
        </w:rPr>
        <w:t xml:space="preserve"> infringed </w:t>
      </w:r>
      <w:r>
        <w:rPr>
          <w:rFonts w:ascii="Times New Roman" w:eastAsia="Times New Roman" w:hAnsi="Times New Roman" w:cs="Times New Roman"/>
          <w:i/>
          <w:iCs/>
          <w:kern w:val="0"/>
          <w14:ligatures w14:val="none"/>
        </w:rPr>
        <w:t>Pac-Man</w:t>
      </w:r>
      <w:r>
        <w:rPr>
          <w:rFonts w:ascii="Times New Roman" w:eastAsia="Times New Roman" w:hAnsi="Times New Roman" w:cs="Times New Roman"/>
          <w:kern w:val="0"/>
          <w14:ligatures w14:val="none"/>
        </w:rPr>
        <w:t xml:space="preserve"> because its “total concept and feel” were substantially similar.</w:t>
      </w:r>
      <w:r>
        <w:rPr>
          <w:rStyle w:val="FootnoteReference"/>
        </w:rPr>
        <w:footnoteReference w:id="46"/>
      </w:r>
      <w:r>
        <w:rPr>
          <w:rFonts w:ascii="Times New Roman" w:eastAsia="Times New Roman" w:hAnsi="Times New Roman" w:cs="Times New Roman"/>
          <w:kern w:val="0"/>
          <w14:ligatures w14:val="none"/>
        </w:rPr>
        <w:t xml:space="preserve"> Even though the infringing game had altered certain colors, shapes, and character movements, the court found the overall impression unmistakably derivative.</w:t>
      </w:r>
      <w:r>
        <w:rPr>
          <w:rStyle w:val="FootnoteReference"/>
        </w:rPr>
        <w:footnoteReference w:id="47"/>
      </w:r>
    </w:p>
    <w:p w14:paraId="0FFF269D" w14:textId="3C9061F2"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The decision captured both the promise and the peril of the substantial-similarity test. It acknowledged that copying </w:t>
      </w:r>
      <w:proofErr w:type="gramStart"/>
      <w:r>
        <w:rPr>
          <w:rFonts w:ascii="Times New Roman" w:eastAsia="Times New Roman" w:hAnsi="Times New Roman" w:cs="Times New Roman"/>
          <w:kern w:val="0"/>
          <w14:ligatures w14:val="none"/>
        </w:rPr>
        <w:t>can</w:t>
      </w:r>
      <w:proofErr w:type="gramEnd"/>
      <w:r>
        <w:rPr>
          <w:rFonts w:ascii="Times New Roman" w:eastAsia="Times New Roman" w:hAnsi="Times New Roman" w:cs="Times New Roman"/>
          <w:kern w:val="0"/>
          <w14:ligatures w14:val="none"/>
        </w:rPr>
        <w:t xml:space="preserve"> occur even without literal duplication, but it also exposed the inherent subjectivity in determining when two works “feel” too much alike. The court noted that the defendant’s designer had been asked to change the color of the “gobbler” from yellow to blue in order to try to avoid any claim of substantial similarity, underscoring how intention to mimic</w:t>
      </w:r>
      <w:r w:rsidR="008B70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even when tempered by alteration</w:t>
      </w:r>
      <w:r w:rsidR="008B70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can shape the infringement analysis</w:t>
      </w:r>
      <w:r>
        <w:rPr>
          <w:rStyle w:val="FootnoteReference"/>
        </w:rPr>
        <w:footnoteReference w:id="48"/>
      </w:r>
      <w:r>
        <w:rPr>
          <w:rFonts w:ascii="Times New Roman" w:eastAsia="Times New Roman" w:hAnsi="Times New Roman" w:cs="Times New Roman"/>
          <w:kern w:val="0"/>
          <w14:ligatures w14:val="none"/>
        </w:rPr>
        <w:t>.</w:t>
      </w:r>
    </w:p>
    <w:p w14:paraId="4A79066A"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As technology advanced, courts struggled to balance protection for creative design against the need to preserve competition and innovation. </w:t>
      </w:r>
      <w:r>
        <w:rPr>
          <w:rFonts w:ascii="Times New Roman" w:eastAsia="Times New Roman" w:hAnsi="Times New Roman" w:cs="Times New Roman"/>
          <w:i/>
          <w:iCs/>
          <w:kern w:val="0"/>
          <w14:ligatures w14:val="none"/>
        </w:rPr>
        <w:t>Apple Computer, Inc. v. Microsoft Corp.</w:t>
      </w:r>
      <w:r>
        <w:rPr>
          <w:rStyle w:val="FootnoteReference"/>
        </w:rPr>
        <w:footnoteReference w:id="49"/>
      </w:r>
      <w:r>
        <w:rPr>
          <w:rFonts w:ascii="Times New Roman" w:eastAsia="Times New Roman" w:hAnsi="Times New Roman" w:cs="Times New Roman"/>
          <w:kern w:val="0"/>
          <w14:ligatures w14:val="none"/>
        </w:rPr>
        <w:t xml:space="preserve"> narrowed </w:t>
      </w:r>
      <w:r>
        <w:rPr>
          <w:rFonts w:ascii="Times New Roman" w:eastAsia="Times New Roman" w:hAnsi="Times New Roman" w:cs="Times New Roman"/>
          <w:i/>
          <w:iCs/>
          <w:kern w:val="0"/>
          <w14:ligatures w14:val="none"/>
        </w:rPr>
        <w:t>Atari</w:t>
      </w:r>
      <w:r>
        <w:rPr>
          <w:rFonts w:ascii="Times New Roman" w:eastAsia="Times New Roman" w:hAnsi="Times New Roman" w:cs="Times New Roman"/>
          <w:kern w:val="0"/>
          <w14:ligatures w14:val="none"/>
        </w:rPr>
        <w:t>’s reach by holding that graphical user interfaces, being largely functional, deserved only thin protection. The aesthetic overlap between windows, icons, and menus was inevitable, the Ninth Circuit reasoned, because those elements were as much about usability as expression.</w:t>
      </w:r>
      <w:r>
        <w:rPr>
          <w:rStyle w:val="FootnoteReference"/>
        </w:rPr>
        <w:footnoteReference w:id="50"/>
      </w:r>
      <w:r>
        <w:rPr>
          <w:rFonts w:ascii="Times New Roman" w:eastAsia="Times New Roman" w:hAnsi="Times New Roman" w:cs="Times New Roman"/>
          <w:kern w:val="0"/>
          <w14:ligatures w14:val="none"/>
        </w:rPr>
        <w:t xml:space="preserve"> Recent cases have extended this reasoning beyond software. In </w:t>
      </w:r>
      <w:proofErr w:type="spellStart"/>
      <w:r>
        <w:rPr>
          <w:rFonts w:ascii="Times New Roman" w:eastAsia="Times New Roman" w:hAnsi="Times New Roman" w:cs="Times New Roman"/>
          <w:i/>
          <w:iCs/>
          <w:kern w:val="0"/>
          <w14:ligatures w14:val="none"/>
        </w:rPr>
        <w:t>Sedlik</w:t>
      </w:r>
      <w:proofErr w:type="spellEnd"/>
      <w:r>
        <w:rPr>
          <w:rFonts w:ascii="Times New Roman" w:eastAsia="Times New Roman" w:hAnsi="Times New Roman" w:cs="Times New Roman"/>
          <w:i/>
          <w:iCs/>
          <w:kern w:val="0"/>
          <w14:ligatures w14:val="none"/>
        </w:rPr>
        <w:t xml:space="preserve"> v. von Drachenberg</w:t>
      </w:r>
      <w:r>
        <w:rPr>
          <w:rFonts w:ascii="Times New Roman" w:eastAsia="Times New Roman" w:hAnsi="Times New Roman" w:cs="Times New Roman"/>
          <w:kern w:val="0"/>
          <w14:ligatures w14:val="none"/>
        </w:rPr>
        <w:t>, the Ninth Circuit Court of Appeals affirmed a jury verdict that applied the ‘total concept and feel’ standard to determine that a tattoo reproducing a copyrighted photograph was not infringement.</w:t>
      </w:r>
      <w:r>
        <w:rPr>
          <w:rStyle w:val="FootnoteReference"/>
        </w:rPr>
        <w:footnoteReference w:id="51"/>
      </w:r>
      <w:r>
        <w:rPr>
          <w:rFonts w:ascii="Times New Roman" w:eastAsia="Times New Roman" w:hAnsi="Times New Roman" w:cs="Times New Roman"/>
          <w:kern w:val="0"/>
          <w14:ligatures w14:val="none"/>
        </w:rPr>
        <w:t xml:space="preserve"> The court stated that it was applying a test created by the Ninth Circuit, but which was never blessed by the Supreme Court: the intrinsic test is “subjective and asks whether the ordinary, reasonable person would find the total concept and feel of the works to be substantially similar.”</w:t>
      </w:r>
      <w:r>
        <w:rPr>
          <w:rStyle w:val="FootnoteReference"/>
        </w:rPr>
        <w:footnoteReference w:id="52"/>
      </w:r>
    </w:p>
    <w:p w14:paraId="1FF7DEE3"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tension between </w:t>
      </w:r>
      <w:r>
        <w:rPr>
          <w:rFonts w:ascii="Times New Roman" w:eastAsia="Times New Roman" w:hAnsi="Times New Roman" w:cs="Times New Roman"/>
          <w:i/>
          <w:iCs/>
          <w:kern w:val="0"/>
          <w14:ligatures w14:val="none"/>
        </w:rPr>
        <w:t>Atari</w:t>
      </w:r>
      <w:r>
        <w:rPr>
          <w:rFonts w:ascii="Times New Roman" w:eastAsia="Times New Roman" w:hAnsi="Times New Roman" w:cs="Times New Roman"/>
          <w:kern w:val="0"/>
          <w14:ligatures w14:val="none"/>
        </w:rPr>
        <w:t xml:space="preserve"> and </w:t>
      </w:r>
      <w:r>
        <w:rPr>
          <w:rFonts w:ascii="Times New Roman" w:eastAsia="Times New Roman" w:hAnsi="Times New Roman" w:cs="Times New Roman"/>
          <w:i/>
          <w:iCs/>
          <w:kern w:val="0"/>
          <w14:ligatures w14:val="none"/>
        </w:rPr>
        <w:t>Apple</w:t>
      </w:r>
      <w:r>
        <w:rPr>
          <w:rFonts w:ascii="Times New Roman" w:eastAsia="Times New Roman" w:hAnsi="Times New Roman" w:cs="Times New Roman"/>
          <w:kern w:val="0"/>
          <w14:ligatures w14:val="none"/>
        </w:rPr>
        <w:t xml:space="preserve"> foreshadowed many of today’s disputes over AI-generated outputs. If a system creates works that resemble a human artist’s “look and feel,” how close is too close? Does similarity of “style” or “vibe” constitute appropriation, or merely participation in a shared aesthetic? Copyright, which has long distinguished between inspiration and duplication, offers both the vocabulary and the cautionary history for those questions.</w:t>
      </w:r>
    </w:p>
    <w:p w14:paraId="032E5DCB" w14:textId="4A652E7E" w:rsidR="00A75C8E" w:rsidRDefault="004C556B" w:rsidP="008372DB">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 same struggle</w:t>
      </w:r>
      <w:r w:rsidR="008B70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between the mechanical and the expressive</w:t>
      </w:r>
      <w:r w:rsidR="008B70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recurs throughout copyright’s history. It is what distinguishes the artistry of a van Gogh, whose brushstrokes and colors embody unmistakable personal expression, from the mechanical reproduction of his works or the unoriginal compilation of facts. The Supreme Court’s rejection of the “sweat of the brow” doctrine in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did not devalue effort but reaffirmed that copyright rewards creativity, not industriousness for its own sake.</w:t>
      </w:r>
      <w:r>
        <w:rPr>
          <w:rStyle w:val="FootnoteReference"/>
        </w:rPr>
        <w:footnoteReference w:id="53"/>
      </w:r>
      <w:r>
        <w:rPr>
          <w:rFonts w:ascii="Times New Roman" w:eastAsia="Times New Roman" w:hAnsi="Times New Roman" w:cs="Times New Roman"/>
          <w:kern w:val="0"/>
          <w14:ligatures w14:val="none"/>
        </w:rPr>
        <w:t xml:space="preserve"> That principle continues to guide courts as they confront technologies, like artificial intelligence, that require great effort, but with varying degrees of human authorship.</w:t>
      </w:r>
    </w:p>
    <w:p w14:paraId="24D0F87C"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22" w:name="_Toc220693048"/>
      <w:r>
        <w:rPr>
          <w:b/>
        </w:rPr>
        <w:t>5.2 The Problem of Stylistic Appropriation: Marvin Gaye’s “Vibe”</w:t>
      </w:r>
      <w:bookmarkEnd w:id="22"/>
    </w:p>
    <w:p w14:paraId="7FD96850" w14:textId="26B56E51" w:rsidR="00A75C8E" w:rsidRDefault="004C556B" w:rsidP="008372DB">
      <w:pPr>
        <w:spacing w:after="0"/>
        <w:jc w:val="both"/>
        <w:rPr>
          <w:rFonts w:ascii="Times New Roman" w:hAnsi="Times New Roman" w:cs="Times New Roman"/>
        </w:rPr>
      </w:pPr>
      <w:r>
        <w:rPr>
          <w:rFonts w:ascii="Times New Roman" w:hAnsi="Times New Roman" w:cs="Times New Roman"/>
        </w:rPr>
        <w:lastRenderedPageBreak/>
        <w:t>The idea–expression dichotomy and the substantial-similarity doctrine intersect sharply in music, where melody, harmony, rhythm, and timbre all blur into shared conventions. Two recent cases involving the music of Marvin Gaye illustrate how elusive that boundary remains</w:t>
      </w:r>
      <w:r w:rsidR="008B70C2">
        <w:rPr>
          <w:rFonts w:ascii="Times New Roman" w:hAnsi="Times New Roman" w:cs="Times New Roman"/>
        </w:rPr>
        <w:t xml:space="preserve">, </w:t>
      </w:r>
      <w:r>
        <w:rPr>
          <w:rFonts w:ascii="Times New Roman" w:hAnsi="Times New Roman" w:cs="Times New Roman"/>
        </w:rPr>
        <w:t>and how much it may turn on a jury’s intuition of “feel.”</w:t>
      </w:r>
    </w:p>
    <w:p w14:paraId="5283CFE7" w14:textId="77777777" w:rsidR="00A75C8E" w:rsidRDefault="004C556B" w:rsidP="008372DB">
      <w:pPr>
        <w:pStyle w:val="Heading4"/>
        <w:jc w:val="both"/>
        <w:rPr>
          <w:rFonts w:ascii="Times New Roman" w:hAnsi="Times New Roman"/>
          <w:i w:val="0"/>
          <w:color w:val="auto"/>
          <w:sz w:val="27"/>
        </w:rPr>
      </w:pPr>
      <w:r>
        <w:rPr>
          <w:b/>
          <w:color w:val="auto"/>
        </w:rPr>
        <w:t>5.2.</w:t>
      </w:r>
      <w:bookmarkStart w:id="23" w:name="_Toc220693049"/>
      <w:r>
        <w:rPr>
          <w:b/>
          <w:color w:val="auto"/>
        </w:rPr>
        <w:t xml:space="preserve">1 The Williams v. Gaye “Blurred Lines” </w:t>
      </w:r>
      <w:bookmarkEnd w:id="23"/>
      <w:r>
        <w:rPr>
          <w:b/>
          <w:color w:val="auto"/>
        </w:rPr>
        <w:t>Case</w:t>
      </w:r>
    </w:p>
    <w:p w14:paraId="25CBC116" w14:textId="77777777" w:rsidR="00A75C8E" w:rsidRDefault="004C556B" w:rsidP="008372DB">
      <w:pPr>
        <w:spacing w:beforeAutospacing="1" w:afterAutospacing="1" w:line="240" w:lineRule="auto"/>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Williams v. Gaye</w:t>
      </w:r>
      <w:r>
        <w:rPr>
          <w:rFonts w:ascii="Times New Roman" w:hAnsi="Times New Roman" w:cs="Times New Roman"/>
        </w:rPr>
        <w:t>, the Ninth Circuit upheld a jury verdict finding that Robin Thicke and Pharrell Williams’s “Blurred Lines” infringed Gaye’s “Got to Give It Up.”</w:t>
      </w:r>
      <w:r>
        <w:rPr>
          <w:rStyle w:val="FootnoteReference"/>
        </w:rPr>
        <w:footnoteReference w:id="54"/>
      </w:r>
      <w:r>
        <w:rPr>
          <w:rFonts w:ascii="Times New Roman" w:hAnsi="Times New Roman" w:cs="Times New Roman"/>
        </w:rPr>
        <w:t xml:space="preserve"> In a very high-profile case, where there did not appear to be literal copying of words, melody, rhythm, bass lines, or choruses, the court rejected the defendants’ argument that “Got to Give It Up” was entitled to only “thin” copyright protection.</w:t>
      </w:r>
      <w:r>
        <w:rPr>
          <w:rStyle w:val="FootnoteReference"/>
        </w:rPr>
        <w:footnoteReference w:id="55"/>
      </w:r>
      <w:r>
        <w:rPr>
          <w:rFonts w:ascii="Times New Roman" w:hAnsi="Times New Roman" w:cs="Times New Roman"/>
        </w:rPr>
        <w:t xml:space="preserve"> Rather, the court applied the Ninth Circuit’s subjective “intrinsic” test, which asks the jury “whether the ordinary, reasonable person would find the total concept and feel of the works to be substantially similar.”</w:t>
      </w:r>
      <w:r>
        <w:rPr>
          <w:rStyle w:val="FootnoteReference"/>
        </w:rPr>
        <w:footnoteReference w:id="56"/>
      </w:r>
      <w:r>
        <w:rPr>
          <w:rFonts w:ascii="Times New Roman" w:hAnsi="Times New Roman" w:cs="Times New Roman"/>
        </w:rPr>
        <w:t>The dissenting opinion in this case well predicted and summarized most of the criticism that has followed this decision:</w:t>
      </w:r>
    </w:p>
    <w:p w14:paraId="14BB3F9D" w14:textId="77777777" w:rsidR="00A75C8E" w:rsidRDefault="004C556B" w:rsidP="008372DB">
      <w:pPr>
        <w:spacing w:beforeAutospacing="1" w:afterAutospacing="1" w:line="240" w:lineRule="auto"/>
        <w:ind w:left="720"/>
        <w:jc w:val="both"/>
        <w:rPr>
          <w:rFonts w:ascii="Times New Roman" w:hAnsi="Times New Roman" w:cs="Times New Roman"/>
        </w:rPr>
      </w:pPr>
      <w:r>
        <w:rPr>
          <w:rFonts w:ascii="Times New Roman" w:hAnsi="Times New Roman" w:cs="Times New Roman"/>
        </w:rPr>
        <w:t>The majority allows the Gayes to accomplish what no one has before: copyright a musical style. “Blurred Lines” and “Got to Give It Up” are not objectively similar. They differ in melody, harmony, and rhythm. Yet by refusing to compare the two works, the majority establishes a dangerous precedent that strikes a devastating blow to future musicians and composers everywhere.</w:t>
      </w:r>
      <w:r>
        <w:rPr>
          <w:rStyle w:val="FootnoteReference"/>
        </w:rPr>
        <w:footnoteReference w:id="57"/>
      </w:r>
      <w:r>
        <w:rPr>
          <w:rFonts w:ascii="Times New Roman" w:hAnsi="Times New Roman" w:cs="Times New Roman"/>
        </w:rPr>
        <w:t xml:space="preserve"> </w:t>
      </w:r>
    </w:p>
    <w:p w14:paraId="6E841C9C" w14:textId="77777777" w:rsidR="00A75C8E" w:rsidRDefault="004C556B" w:rsidP="008372DB">
      <w:pPr>
        <w:pStyle w:val="Heading4"/>
        <w:jc w:val="both"/>
        <w:rPr>
          <w:rFonts w:ascii="Times New Roman" w:hAnsi="Times New Roman"/>
          <w:i w:val="0"/>
          <w:color w:val="auto"/>
          <w:sz w:val="27"/>
        </w:rPr>
      </w:pPr>
      <w:r>
        <w:rPr>
          <w:b/>
          <w:color w:val="auto"/>
        </w:rPr>
        <w:t>5.</w:t>
      </w:r>
      <w:bookmarkStart w:id="24" w:name="_Toc220693050"/>
      <w:r>
        <w:rPr>
          <w:b/>
          <w:color w:val="auto"/>
        </w:rPr>
        <w:t xml:space="preserve">2.2 The Ed Sheeran </w:t>
      </w:r>
      <w:bookmarkEnd w:id="24"/>
      <w:r>
        <w:rPr>
          <w:b/>
          <w:color w:val="auto"/>
        </w:rPr>
        <w:t>Contrast</w:t>
      </w:r>
    </w:p>
    <w:p w14:paraId="5D4A7DD0" w14:textId="103476F5" w:rsidR="00A75C8E" w:rsidRDefault="004C556B" w:rsidP="008372DB">
      <w:pPr>
        <w:spacing w:beforeAutospacing="1" w:afterAutospacing="1" w:line="240" w:lineRule="auto"/>
        <w:jc w:val="both"/>
        <w:rPr>
          <w:rFonts w:ascii="Times New Roman" w:hAnsi="Times New Roman" w:cs="Times New Roman"/>
        </w:rPr>
      </w:pPr>
      <w:r>
        <w:rPr>
          <w:rFonts w:ascii="Times New Roman" w:hAnsi="Times New Roman" w:cs="Times New Roman"/>
        </w:rPr>
        <w:t xml:space="preserve">Nearly a decade later, the Ed </w:t>
      </w:r>
      <w:r>
        <w:rPr>
          <w:rFonts w:ascii="Times New Roman" w:hAnsi="Times New Roman"/>
        </w:rPr>
        <w:t xml:space="preserve">Sheeran </w:t>
      </w:r>
      <w:r>
        <w:rPr>
          <w:rFonts w:ascii="Times New Roman" w:hAnsi="Times New Roman" w:cs="Times New Roman"/>
        </w:rPr>
        <w:t>litigation reached the opposite conclusion on strikingly similar facts.</w:t>
      </w:r>
      <w:r>
        <w:rPr>
          <w:rStyle w:val="FootnoteReference"/>
        </w:rPr>
        <w:footnoteReference w:id="58"/>
      </w:r>
      <w:r>
        <w:rPr>
          <w:rFonts w:ascii="Times New Roman" w:hAnsi="Times New Roman" w:cs="Times New Roman"/>
        </w:rPr>
        <w:t>The heirs of Ed Townsend, co-writer of Gaye’s “Let’s Get It On,” alleged that Ed Sheeran’s “Thinking Out Loud” copied the earlier song’s chord progression and harmonic rhythm.</w:t>
      </w:r>
      <w:r>
        <w:rPr>
          <w:rStyle w:val="FootnoteReference"/>
        </w:rPr>
        <w:footnoteReference w:id="59"/>
      </w:r>
      <w:r>
        <w:rPr>
          <w:rFonts w:ascii="Times New Roman" w:hAnsi="Times New Roman" w:cs="Times New Roman"/>
        </w:rPr>
        <w:t xml:space="preserve"> Sheeran vigorously disputed the claim, stating that copyright protection cannot extend to common I-iii-IV-V(7) guitar chord patterns and common harmonic rhythms.</w:t>
      </w:r>
      <w:r>
        <w:rPr>
          <w:rStyle w:val="FootnoteReference"/>
        </w:rPr>
        <w:footnoteReference w:id="60"/>
      </w:r>
      <w:r>
        <w:rPr>
          <w:rFonts w:ascii="Times New Roman" w:hAnsi="Times New Roman" w:cs="Times New Roman"/>
        </w:rPr>
        <w:t xml:space="preserve"> In an extraordinary courtroom demonstration, Sheeran performed portions of nearly ninety songs</w:t>
      </w:r>
      <w:r w:rsidR="008B70C2">
        <w:rPr>
          <w:rFonts w:ascii="Times New Roman" w:hAnsi="Times New Roman" w:cs="Times New Roman"/>
        </w:rPr>
        <w:t xml:space="preserve">, </w:t>
      </w:r>
      <w:r>
        <w:rPr>
          <w:rFonts w:ascii="Times New Roman" w:hAnsi="Times New Roman" w:cs="Times New Roman"/>
        </w:rPr>
        <w:t xml:space="preserve">from Bob Dylan’s “Just Like a Woman” to The Temptations’ “My Girl” to Van Morrison’s “Have I Told </w:t>
      </w:r>
      <w:r>
        <w:rPr>
          <w:rFonts w:ascii="Times New Roman" w:hAnsi="Times New Roman" w:cs="Times New Roman"/>
        </w:rPr>
        <w:lastRenderedPageBreak/>
        <w:t>You Lately</w:t>
      </w:r>
      <w:r w:rsidR="008B70C2">
        <w:rPr>
          <w:rFonts w:ascii="Times New Roman" w:hAnsi="Times New Roman" w:cs="Times New Roman"/>
        </w:rPr>
        <w:t>,</w:t>
      </w:r>
      <w:r>
        <w:rPr>
          <w:rFonts w:ascii="Times New Roman" w:hAnsi="Times New Roman" w:cs="Times New Roman"/>
        </w:rPr>
        <w:t>”</w:t>
      </w:r>
      <w:r w:rsidR="008B70C2">
        <w:rPr>
          <w:rFonts w:ascii="Times New Roman" w:hAnsi="Times New Roman" w:cs="Times New Roman"/>
        </w:rPr>
        <w:t xml:space="preserve"> </w:t>
      </w:r>
      <w:r>
        <w:rPr>
          <w:rFonts w:ascii="Times New Roman" w:hAnsi="Times New Roman" w:cs="Times New Roman"/>
        </w:rPr>
        <w:t>to illustrate just how common those chord sequences are.</w:t>
      </w:r>
      <w:r>
        <w:rPr>
          <w:rStyle w:val="FootnoteReference"/>
        </w:rPr>
        <w:footnoteReference w:id="61"/>
      </w:r>
      <w:r>
        <w:rPr>
          <w:rFonts w:ascii="Times New Roman" w:hAnsi="Times New Roman" w:cs="Times New Roman"/>
        </w:rPr>
        <w:t>After several hours of deliberation, the jury found no infringement.</w:t>
      </w:r>
      <w:r>
        <w:rPr>
          <w:rStyle w:val="FootnoteReference"/>
        </w:rPr>
        <w:footnoteReference w:id="62"/>
      </w:r>
      <w:r>
        <w:rPr>
          <w:rFonts w:ascii="Times New Roman" w:hAnsi="Times New Roman" w:cs="Times New Roman"/>
        </w:rPr>
        <w:t xml:space="preserve"> In the companion case brought by Structured Asset Sales, a co-owner of the rights to “Let’s Get It On,” the district court granted summary judgment for Sheeran, holding that it was “an unassailable reality that the chord progression and harmonic rhythm in ‘</w:t>
      </w:r>
      <w:r>
        <w:rPr>
          <w:rFonts w:ascii="Times New Roman" w:hAnsi="Times New Roman" w:cs="Times New Roman"/>
          <w:iCs/>
        </w:rPr>
        <w:t>Let’s Get It On’</w:t>
      </w:r>
      <w:r>
        <w:rPr>
          <w:rFonts w:ascii="Times New Roman" w:hAnsi="Times New Roman" w:cs="Times New Roman"/>
        </w:rPr>
        <w:t xml:space="preserve"> are so commonplace, in isolation and in combination, that to protect their combination would give ‘</w:t>
      </w:r>
      <w:r>
        <w:rPr>
          <w:rFonts w:ascii="Times New Roman" w:hAnsi="Times New Roman" w:cs="Times New Roman"/>
          <w:iCs/>
        </w:rPr>
        <w:t>Let’s Get It On</w:t>
      </w:r>
      <w:r>
        <w:rPr>
          <w:rFonts w:ascii="Times New Roman" w:hAnsi="Times New Roman" w:cs="Times New Roman"/>
        </w:rPr>
        <w:t>’ an impermissible monopoly over a basic musical building block.”</w:t>
      </w:r>
      <w:r>
        <w:rPr>
          <w:rStyle w:val="FootnoteReference"/>
        </w:rPr>
        <w:footnoteReference w:id="63"/>
      </w:r>
      <w:r>
        <w:rPr>
          <w:rFonts w:ascii="Times New Roman" w:hAnsi="Times New Roman" w:cs="Times New Roman"/>
        </w:rPr>
        <w:t xml:space="preserve"> The court continued, “‘Let’s Get It On’s’ chord progression was used at least twenty-nine times before appearing in ‘Let’s Get It On’ and was in another twenty-three songs before ‘Thinking Out Loud’ was released.”</w:t>
      </w:r>
      <w:r>
        <w:rPr>
          <w:rStyle w:val="FootnoteReference"/>
        </w:rPr>
        <w:footnoteReference w:id="64"/>
      </w:r>
    </w:p>
    <w:p w14:paraId="0DC9790B" w14:textId="51A736A3" w:rsidR="00A75C8E" w:rsidRDefault="004C556B" w:rsidP="008372DB">
      <w:pPr>
        <w:spacing w:beforeAutospacing="1" w:afterAutospacing="1" w:line="240" w:lineRule="auto"/>
        <w:jc w:val="both"/>
        <w:rPr>
          <w:rFonts w:ascii="Times New Roman" w:hAnsi="Times New Roman" w:cs="Times New Roman"/>
        </w:rPr>
      </w:pPr>
      <w:r>
        <w:rPr>
          <w:rFonts w:ascii="Times New Roman" w:hAnsi="Times New Roman" w:cs="Times New Roman"/>
        </w:rPr>
        <w:t xml:space="preserve">On appeal, the Second Circuit affirmed. It addressed the proposition that, under </w:t>
      </w:r>
      <w:r>
        <w:rPr>
          <w:rFonts w:ascii="Times New Roman" w:hAnsi="Times New Roman" w:cs="Times New Roman"/>
          <w:i/>
          <w:iCs/>
        </w:rPr>
        <w:t>Feist</w:t>
      </w:r>
      <w:r>
        <w:rPr>
          <w:rFonts w:ascii="Times New Roman" w:hAnsi="Times New Roman" w:cs="Times New Roman"/>
        </w:rPr>
        <w:t>, “a work consisting of unprotectable elements may still be protectable as an original ‘selection and arrangement’ of those elements.”</w:t>
      </w:r>
      <w:r>
        <w:rPr>
          <w:rStyle w:val="FootnoteReference"/>
        </w:rPr>
        <w:footnoteReference w:id="65"/>
      </w:r>
      <w:r>
        <w:rPr>
          <w:rFonts w:ascii="Times New Roman" w:hAnsi="Times New Roman" w:cs="Times New Roman"/>
        </w:rPr>
        <w:t xml:space="preserve"> It held that this claim fails because “it risks granting a monopoly over a combination of two fundamental musical building blocks. The four-chord progression at issue</w:t>
      </w:r>
      <w:r w:rsidR="008B70C2">
        <w:rPr>
          <w:rFonts w:ascii="Times New Roman" w:hAnsi="Times New Roman" w:cs="Times New Roman"/>
        </w:rPr>
        <w:t xml:space="preserve">, </w:t>
      </w:r>
      <w:r>
        <w:rPr>
          <w:rFonts w:ascii="Times New Roman" w:hAnsi="Times New Roman" w:cs="Times New Roman"/>
        </w:rPr>
        <w:t>ubiquitous in pop music</w:t>
      </w:r>
      <w:r w:rsidR="008B70C2">
        <w:rPr>
          <w:rFonts w:ascii="Times New Roman" w:hAnsi="Times New Roman" w:cs="Times New Roman"/>
        </w:rPr>
        <w:t xml:space="preserve">, </w:t>
      </w:r>
      <w:r>
        <w:rPr>
          <w:rFonts w:ascii="Times New Roman" w:hAnsi="Times New Roman" w:cs="Times New Roman"/>
        </w:rPr>
        <w:t>even coupled with a syncopated harmonic rhythm, is too well-explored to meet the originality threshold that copyright law demands.”</w:t>
      </w:r>
      <w:r>
        <w:rPr>
          <w:rStyle w:val="FootnoteReference"/>
        </w:rPr>
        <w:footnoteReference w:id="66"/>
      </w:r>
    </w:p>
    <w:p w14:paraId="053564BB" w14:textId="77777777" w:rsidR="00A75C8E" w:rsidRDefault="004C556B" w:rsidP="008372DB">
      <w:pPr>
        <w:pStyle w:val="Heading4"/>
        <w:jc w:val="both"/>
        <w:rPr>
          <w:rFonts w:ascii="Times New Roman" w:hAnsi="Times New Roman"/>
          <w:i w:val="0"/>
          <w:color w:val="auto"/>
          <w:kern w:val="0"/>
          <w:sz w:val="27"/>
          <w14:ligatures w14:val="none"/>
        </w:rPr>
      </w:pPr>
      <w:r>
        <w:rPr>
          <w:b/>
          <w:color w:val="auto"/>
        </w:rPr>
        <w:t>5.2.</w:t>
      </w:r>
      <w:bookmarkStart w:id="25" w:name="_Toc220693051"/>
      <w:r>
        <w:rPr>
          <w:b/>
          <w:color w:val="auto"/>
        </w:rPr>
        <w:t>3 Implications for AI-</w:t>
      </w:r>
      <w:bookmarkEnd w:id="25"/>
      <w:r>
        <w:rPr>
          <w:b/>
          <w:color w:val="auto"/>
        </w:rPr>
        <w:t>Generated Music</w:t>
      </w:r>
    </w:p>
    <w:p w14:paraId="6C660337" w14:textId="4518E28B" w:rsidR="00A75C8E" w:rsidRDefault="004C556B" w:rsidP="008372DB">
      <w:pPr>
        <w:spacing w:beforeAutospacing="1" w:afterAutospacing="1" w:line="240" w:lineRule="auto"/>
        <w:jc w:val="both"/>
        <w:rPr>
          <w:rFonts w:ascii="Times New Roman" w:hAnsi="Times New Roman" w:cs="Times New Roman"/>
        </w:rPr>
      </w:pPr>
      <w:r>
        <w:rPr>
          <w:rFonts w:ascii="Times New Roman" w:hAnsi="Times New Roman" w:cs="Times New Roman"/>
          <w:i/>
          <w:iCs/>
        </w:rPr>
        <w:t>Blurred Lines</w:t>
      </w:r>
      <w:r>
        <w:rPr>
          <w:rFonts w:ascii="Times New Roman" w:hAnsi="Times New Roman" w:cs="Times New Roman"/>
        </w:rPr>
        <w:t xml:space="preserve"> and </w:t>
      </w:r>
      <w:r>
        <w:rPr>
          <w:rFonts w:ascii="Times New Roman" w:hAnsi="Times New Roman" w:cs="Times New Roman"/>
          <w:i/>
          <w:iCs/>
        </w:rPr>
        <w:t>Sheeran</w:t>
      </w:r>
      <w:r>
        <w:rPr>
          <w:rFonts w:ascii="Times New Roman" w:hAnsi="Times New Roman" w:cs="Times New Roman"/>
        </w:rPr>
        <w:t xml:space="preserve"> reveal just how malleable and subjective the “substantial similarity” standard can be when juries or courts are asked to distinguish between expression and “style” or “vibe.” This will be a difficult issue for AI-generated musical composition cases. Generative models can synthesize thousands of existing songs to produce outputs that sound </w:t>
      </w:r>
      <w:r>
        <w:rPr>
          <w:rFonts w:ascii="Times New Roman" w:hAnsi="Times New Roman" w:cs="Times New Roman"/>
          <w:i/>
          <w:iCs/>
        </w:rPr>
        <w:t>like</w:t>
      </w:r>
      <w:r>
        <w:rPr>
          <w:rFonts w:ascii="Times New Roman" w:hAnsi="Times New Roman" w:cs="Times New Roman"/>
        </w:rPr>
        <w:t xml:space="preserve"> Marvin Gaye or </w:t>
      </w:r>
      <w:r>
        <w:rPr>
          <w:rFonts w:ascii="Times New Roman" w:hAnsi="Times New Roman" w:cs="Times New Roman"/>
          <w:i/>
          <w:iCs/>
        </w:rPr>
        <w:t>like</w:t>
      </w:r>
      <w:r>
        <w:rPr>
          <w:rFonts w:ascii="Times New Roman" w:hAnsi="Times New Roman" w:cs="Times New Roman"/>
        </w:rPr>
        <w:t xml:space="preserve"> Ed Sheeran without reproducing any literal expression. If copying “vibe” alone suffices for infringement, the creative potential of AI systems could be chilled by the threat of litigation for stylistic resemblance. Yet if courts follow </w:t>
      </w:r>
      <w:r>
        <w:rPr>
          <w:rFonts w:ascii="Times New Roman" w:hAnsi="Times New Roman" w:cs="Times New Roman"/>
          <w:i/>
          <w:iCs/>
        </w:rPr>
        <w:t>Sheeran</w:t>
      </w:r>
      <w:r>
        <w:rPr>
          <w:rFonts w:ascii="Times New Roman" w:hAnsi="Times New Roman" w:cs="Times New Roman"/>
        </w:rPr>
        <w:t xml:space="preserve">’s restraint, emphasizing the unprotectable nature of basic musical building blocks, they will better reflect </w:t>
      </w:r>
      <w:r>
        <w:rPr>
          <w:rFonts w:ascii="Times New Roman" w:hAnsi="Times New Roman" w:cs="Times New Roman"/>
          <w:i/>
          <w:iCs/>
        </w:rPr>
        <w:t>Baker’s</w:t>
      </w:r>
      <w:r>
        <w:rPr>
          <w:rFonts w:ascii="Times New Roman" w:hAnsi="Times New Roman" w:cs="Times New Roman"/>
        </w:rPr>
        <w:t xml:space="preserve"> important lesson: distinguishing between idea and expression.</w:t>
      </w:r>
      <w:r>
        <w:rPr>
          <w:rStyle w:val="FootnoteReference"/>
        </w:rPr>
        <w:footnoteReference w:id="67"/>
      </w:r>
    </w:p>
    <w:p w14:paraId="20965868" w14:textId="77777777"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t xml:space="preserve">These twin decisions thus frame a cautionary continuum. </w:t>
      </w:r>
      <w:r>
        <w:rPr>
          <w:rFonts w:ascii="Times New Roman" w:hAnsi="Times New Roman" w:cs="Times New Roman"/>
          <w:i/>
          <w:iCs/>
        </w:rPr>
        <w:t>Blurred Lines</w:t>
      </w:r>
      <w:r>
        <w:rPr>
          <w:rFonts w:ascii="Times New Roman" w:hAnsi="Times New Roman" w:cs="Times New Roman"/>
        </w:rPr>
        <w:t xml:space="preserve"> stretches copyright toward protecting style; </w:t>
      </w:r>
      <w:r>
        <w:rPr>
          <w:rFonts w:ascii="Times New Roman" w:hAnsi="Times New Roman" w:cs="Times New Roman"/>
          <w:i/>
          <w:iCs/>
        </w:rPr>
        <w:t>Sheeran</w:t>
      </w:r>
      <w:r>
        <w:rPr>
          <w:rFonts w:ascii="Times New Roman" w:hAnsi="Times New Roman" w:cs="Times New Roman"/>
        </w:rPr>
        <w:t xml:space="preserve"> restores the balance, reminding us that art evolves through imitation as </w:t>
      </w:r>
      <w:r>
        <w:rPr>
          <w:rFonts w:ascii="Times New Roman" w:hAnsi="Times New Roman" w:cs="Times New Roman"/>
        </w:rPr>
        <w:lastRenderedPageBreak/>
        <w:t xml:space="preserve">well as innovation. For policymakers confronting AI, the enduring task is the same one courts faced in </w:t>
      </w:r>
      <w:r>
        <w:rPr>
          <w:rFonts w:ascii="Times New Roman" w:hAnsi="Times New Roman" w:cs="Times New Roman"/>
          <w:i/>
          <w:iCs/>
        </w:rPr>
        <w:t>Baker</w:t>
      </w:r>
      <w:r>
        <w:rPr>
          <w:rFonts w:ascii="Times New Roman" w:hAnsi="Times New Roman" w:cs="Times New Roman"/>
        </w:rPr>
        <w:t xml:space="preserve"> and </w:t>
      </w:r>
      <w:r>
        <w:rPr>
          <w:rFonts w:ascii="Times New Roman" w:hAnsi="Times New Roman" w:cs="Times New Roman"/>
          <w:i/>
          <w:iCs/>
        </w:rPr>
        <w:t>Atari</w:t>
      </w:r>
      <w:r>
        <w:rPr>
          <w:rFonts w:ascii="Times New Roman" w:hAnsi="Times New Roman" w:cs="Times New Roman"/>
        </w:rPr>
        <w:t>: to distinguish between creative expression and the raw materials from which all creativity flows.</w:t>
      </w:r>
      <w:r>
        <w:rPr>
          <w:rStyle w:val="FootnoteReference"/>
        </w:rPr>
        <w:footnoteReference w:id="68"/>
      </w:r>
    </w:p>
    <w:p w14:paraId="42CA582F" w14:textId="77777777" w:rsidR="00A75C8E" w:rsidRDefault="00A75C8E" w:rsidP="008372DB">
      <w:pPr>
        <w:spacing w:after="0"/>
        <w:jc w:val="both"/>
        <w:rPr>
          <w:rFonts w:ascii="Times New Roman" w:hAnsi="Times New Roman" w:cs="Times New Roman"/>
        </w:rPr>
      </w:pPr>
    </w:p>
    <w:p w14:paraId="67A5EB13" w14:textId="77777777" w:rsidR="00A75C8E" w:rsidRDefault="004C556B" w:rsidP="008372DB">
      <w:pPr>
        <w:spacing w:beforeAutospacing="1" w:afterAutospacing="1" w:line="240" w:lineRule="auto"/>
        <w:jc w:val="both"/>
        <w:outlineLvl w:val="1"/>
        <w:rPr>
          <w:rFonts w:ascii="Times New Roman" w:eastAsia="Times New Roman" w:hAnsi="Times New Roman" w:cs="Times New Roman"/>
          <w:b/>
          <w:bCs/>
          <w:kern w:val="0"/>
          <w:sz w:val="36"/>
          <w:szCs w:val="36"/>
          <w14:ligatures w14:val="none"/>
        </w:rPr>
      </w:pPr>
      <w:bookmarkStart w:id="26" w:name="_Toc220693052"/>
      <w:r>
        <w:rPr>
          <w:b/>
        </w:rPr>
        <w:t>6 FAIR USE, TRANSFORMATION, AND MARKET EFFECT</w:t>
      </w:r>
      <w:bookmarkEnd w:id="26"/>
    </w:p>
    <w:p w14:paraId="6E45119A" w14:textId="6CE8A916" w:rsidR="00937A26" w:rsidRPr="00937A26" w:rsidRDefault="00937A26" w:rsidP="00937A26">
      <w:pPr>
        <w:spacing w:beforeAutospacing="1" w:afterAutospacing="1" w:line="240" w:lineRule="auto"/>
        <w:jc w:val="both"/>
        <w:outlineLvl w:val="2"/>
        <w:rPr>
          <w:rFonts w:ascii="Times New Roman" w:hAnsi="Times New Roman" w:cs="Times New Roman"/>
        </w:rPr>
      </w:pPr>
      <w:bookmarkStart w:id="27" w:name="_Toc220693053"/>
      <w:r w:rsidRPr="00937A26">
        <w:rPr>
          <w:rFonts w:ascii="Times New Roman" w:hAnsi="Times New Roman" w:cs="Times New Roman"/>
        </w:rPr>
        <w:t xml:space="preserve">Another pillar of copyright jurisprudence pertains to how </w:t>
      </w:r>
      <w:proofErr w:type="gramStart"/>
      <w:r w:rsidRPr="00937A26">
        <w:rPr>
          <w:rFonts w:ascii="Times New Roman" w:hAnsi="Times New Roman" w:cs="Times New Roman"/>
        </w:rPr>
        <w:t>much of a</w:t>
      </w:r>
      <w:proofErr w:type="gramEnd"/>
      <w:r w:rsidRPr="00937A26">
        <w:rPr>
          <w:rFonts w:ascii="Times New Roman" w:hAnsi="Times New Roman" w:cs="Times New Roman"/>
        </w:rPr>
        <w:t xml:space="preserve"> copyrighted work can be copied by </w:t>
      </w:r>
      <w:proofErr w:type="gramStart"/>
      <w:r w:rsidRPr="00937A26">
        <w:rPr>
          <w:rFonts w:ascii="Times New Roman" w:hAnsi="Times New Roman" w:cs="Times New Roman"/>
        </w:rPr>
        <w:t>a subsequent</w:t>
      </w:r>
      <w:proofErr w:type="gramEnd"/>
      <w:r w:rsidRPr="00937A26">
        <w:rPr>
          <w:rFonts w:ascii="Times New Roman" w:hAnsi="Times New Roman" w:cs="Times New Roman"/>
        </w:rPr>
        <w:t xml:space="preserve"> work. Section 6.1 introduces the important concept of fair use. Section 6.2 discusses how a recent case has changed the analysis of how a court must balance several factors in order to answer this question, while Section 6.3 addresses how this change ha</w:t>
      </w:r>
      <w:r w:rsidRPr="00937A26">
        <w:rPr>
          <w:rFonts w:ascii="Times New Roman" w:hAnsi="Times New Roman" w:cs="Times New Roman"/>
        </w:rPr>
        <w:t>s</w:t>
      </w:r>
      <w:r w:rsidRPr="00937A26">
        <w:rPr>
          <w:rFonts w:ascii="Times New Roman" w:hAnsi="Times New Roman" w:cs="Times New Roman"/>
        </w:rPr>
        <w:t xml:space="preserve"> significant ramifications for AI.</w:t>
      </w:r>
    </w:p>
    <w:p w14:paraId="6338163C" w14:textId="3AB287DC" w:rsidR="00A75C8E" w:rsidRDefault="004C556B" w:rsidP="008372DB">
      <w:pPr>
        <w:spacing w:beforeAutospacing="1" w:afterAutospacing="1" w:line="240" w:lineRule="auto"/>
        <w:jc w:val="both"/>
        <w:outlineLvl w:val="2"/>
        <w:rPr>
          <w:b/>
        </w:rPr>
      </w:pPr>
      <w:r>
        <w:rPr>
          <w:b/>
        </w:rPr>
        <w:t>6.1 Fair Use</w:t>
      </w:r>
      <w:bookmarkEnd w:id="27"/>
    </w:p>
    <w:p w14:paraId="79B9EFEF" w14:textId="77777777"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t>In 1976 Congress codified the common law doctrine of fair use. In addition to a definition, the Copyright Act provides four factors for courts to use to determine whether a claimed fair use is in fact, a fair use:</w:t>
      </w:r>
    </w:p>
    <w:p w14:paraId="6D36927E" w14:textId="77777777" w:rsidR="00A75C8E" w:rsidRDefault="00A75C8E" w:rsidP="008372DB">
      <w:pPr>
        <w:spacing w:after="0" w:line="240" w:lineRule="auto"/>
        <w:jc w:val="both"/>
      </w:pPr>
    </w:p>
    <w:p w14:paraId="619ED08D" w14:textId="2F0ACA95" w:rsidR="00A75C8E" w:rsidRDefault="004C556B" w:rsidP="008372DB">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 the purpose and character of the use, </w:t>
      </w:r>
      <w:hyperlink r:id="rId8">
        <w:r w:rsidR="00A75C8E">
          <w:rPr>
            <w:rFonts w:ascii="Times New Roman" w:eastAsia="Times New Roman" w:hAnsi="Times New Roman" w:cs="Times New Roman"/>
            <w:kern w:val="0"/>
            <w14:ligatures w14:val="none"/>
          </w:rPr>
          <w:t>including</w:t>
        </w:r>
      </w:hyperlink>
      <w:r>
        <w:rPr>
          <w:rFonts w:ascii="Times New Roman" w:eastAsia="Times New Roman" w:hAnsi="Times New Roman" w:cs="Times New Roman"/>
          <w:kern w:val="0"/>
          <w14:ligatures w14:val="none"/>
        </w:rPr>
        <w:t xml:space="preserve"> whether such use is of a commercial nature or is for nonprofit educational purposes;</w:t>
      </w:r>
    </w:p>
    <w:p w14:paraId="24B396E7" w14:textId="77777777" w:rsidR="00A75C8E" w:rsidRDefault="004C556B" w:rsidP="008372DB">
      <w:pPr>
        <w:spacing w:after="0" w:line="240" w:lineRule="auto"/>
        <w:ind w:left="720"/>
        <w:jc w:val="both"/>
        <w:rPr>
          <w:rFonts w:ascii="Times New Roman" w:eastAsia="Times New Roman" w:hAnsi="Times New Roman" w:cs="Times New Roman"/>
          <w:kern w:val="0"/>
          <w14:ligatures w14:val="none"/>
        </w:rPr>
      </w:pPr>
      <w:bookmarkStart w:id="28" w:name="2"/>
      <w:bookmarkEnd w:id="28"/>
      <w:r>
        <w:rPr>
          <w:rFonts w:ascii="Times New Roman" w:eastAsia="Times New Roman" w:hAnsi="Times New Roman" w:cs="Times New Roman"/>
          <w:kern w:val="0"/>
          <w14:ligatures w14:val="none"/>
        </w:rPr>
        <w:t xml:space="preserve">(2) the nature of </w:t>
      </w:r>
      <w:proofErr w:type="gramStart"/>
      <w:r>
        <w:rPr>
          <w:rFonts w:ascii="Times New Roman" w:eastAsia="Times New Roman" w:hAnsi="Times New Roman" w:cs="Times New Roman"/>
          <w:kern w:val="0"/>
          <w14:ligatures w14:val="none"/>
        </w:rPr>
        <w:t>the copyrighted</w:t>
      </w:r>
      <w:proofErr w:type="gramEnd"/>
      <w:r>
        <w:rPr>
          <w:rFonts w:ascii="Times New Roman" w:eastAsia="Times New Roman" w:hAnsi="Times New Roman" w:cs="Times New Roman"/>
          <w:kern w:val="0"/>
          <w14:ligatures w14:val="none"/>
        </w:rPr>
        <w:t xml:space="preserve"> work;</w:t>
      </w:r>
    </w:p>
    <w:p w14:paraId="18B0E20E" w14:textId="77777777" w:rsidR="00A75C8E" w:rsidRDefault="004C556B" w:rsidP="008372DB">
      <w:pPr>
        <w:spacing w:after="0" w:line="240" w:lineRule="auto"/>
        <w:ind w:left="720"/>
        <w:jc w:val="both"/>
        <w:rPr>
          <w:rFonts w:ascii="Times New Roman" w:eastAsia="Times New Roman" w:hAnsi="Times New Roman" w:cs="Times New Roman"/>
          <w:kern w:val="0"/>
          <w14:ligatures w14:val="none"/>
        </w:rPr>
      </w:pPr>
      <w:bookmarkStart w:id="29" w:name="3"/>
      <w:bookmarkEnd w:id="29"/>
      <w:r>
        <w:rPr>
          <w:rFonts w:ascii="Times New Roman" w:eastAsia="Times New Roman" w:hAnsi="Times New Roman" w:cs="Times New Roman"/>
          <w:kern w:val="0"/>
          <w14:ligatures w14:val="none"/>
        </w:rPr>
        <w:t>(3) the amount and substantiality of the portion used in relation to the copyrighted work as a whole; and</w:t>
      </w:r>
    </w:p>
    <w:p w14:paraId="54DCE729" w14:textId="77777777" w:rsidR="00A75C8E" w:rsidRDefault="004C556B" w:rsidP="008372DB">
      <w:pPr>
        <w:spacing w:after="0" w:line="240" w:lineRule="auto"/>
        <w:ind w:left="720"/>
        <w:jc w:val="both"/>
        <w:rPr>
          <w:rFonts w:ascii="Times New Roman" w:eastAsia="Times New Roman" w:hAnsi="Times New Roman" w:cs="Times New Roman"/>
          <w:kern w:val="0"/>
          <w14:ligatures w14:val="none"/>
        </w:rPr>
      </w:pPr>
      <w:bookmarkStart w:id="30" w:name="4"/>
      <w:bookmarkEnd w:id="30"/>
      <w:r>
        <w:rPr>
          <w:rFonts w:ascii="Times New Roman" w:eastAsia="Times New Roman" w:hAnsi="Times New Roman" w:cs="Times New Roman"/>
          <w:kern w:val="0"/>
          <w14:ligatures w14:val="none"/>
        </w:rPr>
        <w:t>(4) the effect of the use upon the potential market for or value of the copyrighted work.</w:t>
      </w:r>
      <w:r>
        <w:rPr>
          <w:rStyle w:val="FootnoteReference"/>
        </w:rPr>
        <w:footnoteReference w:id="69"/>
      </w:r>
    </w:p>
    <w:p w14:paraId="399CF2F3" w14:textId="16E7EF79"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Ever since </w:t>
      </w:r>
      <w:r>
        <w:rPr>
          <w:rFonts w:ascii="Times New Roman" w:eastAsia="Times New Roman" w:hAnsi="Times New Roman" w:cs="Times New Roman"/>
          <w:i/>
          <w:kern w:val="0"/>
          <w14:ligatures w14:val="none"/>
        </w:rPr>
        <w:t>Campbell</w:t>
      </w:r>
      <w:r>
        <w:rPr>
          <w:rFonts w:ascii="Times New Roman" w:eastAsia="Times New Roman" w:hAnsi="Times New Roman" w:cs="Times New Roman"/>
          <w:kern w:val="0"/>
          <w14:ligatures w14:val="none"/>
        </w:rPr>
        <w:t>, a major focus has been on factor one.</w:t>
      </w:r>
      <w:r>
        <w:rPr>
          <w:rStyle w:val="FootnoteReference"/>
        </w:rPr>
        <w:footnoteReference w:id="70"/>
      </w:r>
      <w:r>
        <w:rPr>
          <w:rFonts w:ascii="Times New Roman" w:eastAsia="Times New Roman" w:hAnsi="Times New Roman" w:cs="Times New Roman"/>
          <w:kern w:val="0"/>
          <w14:ligatures w14:val="none"/>
        </w:rPr>
        <w:t xml:space="preserve"> The concept of “transformation” lies at the heart of modern fair-use analysis.</w:t>
      </w:r>
      <w:r>
        <w:rPr>
          <w:rStyle w:val="FootnoteReference"/>
        </w:rPr>
        <w:footnoteReference w:id="71"/>
      </w:r>
      <w:r>
        <w:rPr>
          <w:rFonts w:ascii="Times New Roman" w:eastAsia="Times New Roman" w:hAnsi="Times New Roman" w:cs="Times New Roman"/>
          <w:kern w:val="0"/>
          <w14:ligatures w14:val="none"/>
        </w:rPr>
        <w:t xml:space="preserve"> Courts have asked not simply whether a secondary use copies an earlier work, but whether it adds something new, with a further purpose or different character. Transformation, once limited to parody, has become a dominant analytical lens through which courts evaluate reuse across media</w:t>
      </w:r>
      <w:r w:rsidR="008B70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from sampling and collage to digital search </w:t>
      </w:r>
      <w:proofErr w:type="gramStart"/>
      <w:r>
        <w:rPr>
          <w:rFonts w:ascii="Times New Roman" w:eastAsia="Times New Roman" w:hAnsi="Times New Roman" w:cs="Times New Roman"/>
          <w:kern w:val="0"/>
          <w14:ligatures w14:val="none"/>
        </w:rPr>
        <w:t>and,</w:t>
      </w:r>
      <w:proofErr w:type="gramEnd"/>
      <w:r>
        <w:rPr>
          <w:rFonts w:ascii="Times New Roman" w:eastAsia="Times New Roman" w:hAnsi="Times New Roman" w:cs="Times New Roman"/>
          <w:kern w:val="0"/>
          <w14:ligatures w14:val="none"/>
        </w:rPr>
        <w:t xml:space="preserve"> now, artificial intelligence. </w:t>
      </w:r>
      <w:r>
        <w:rPr>
          <w:rFonts w:ascii="Times New Roman" w:eastAsia="Times New Roman" w:hAnsi="Times New Roman" w:cs="Times New Roman"/>
          <w:i/>
          <w:kern w:val="0"/>
          <w14:ligatures w14:val="none"/>
        </w:rPr>
        <w:t>Warhol</w:t>
      </w:r>
      <w:r>
        <w:rPr>
          <w:rFonts w:ascii="Times New Roman" w:eastAsia="Times New Roman" w:hAnsi="Times New Roman" w:cs="Times New Roman"/>
          <w:kern w:val="0"/>
          <w14:ligatures w14:val="none"/>
        </w:rPr>
        <w:t xml:space="preserve"> expanded the importance of </w:t>
      </w:r>
      <w:proofErr w:type="gramStart"/>
      <w:r>
        <w:rPr>
          <w:rFonts w:ascii="Times New Roman" w:eastAsia="Times New Roman" w:hAnsi="Times New Roman" w:cs="Times New Roman"/>
          <w:kern w:val="0"/>
          <w14:ligatures w14:val="none"/>
        </w:rPr>
        <w:t>transformation, but</w:t>
      </w:r>
      <w:proofErr w:type="gramEnd"/>
      <w:r>
        <w:rPr>
          <w:rFonts w:ascii="Times New Roman" w:eastAsia="Times New Roman" w:hAnsi="Times New Roman" w:cs="Times New Roman"/>
          <w:kern w:val="0"/>
          <w14:ligatures w14:val="none"/>
        </w:rPr>
        <w:t xml:space="preserve"> also tied it more </w:t>
      </w:r>
      <w:r>
        <w:rPr>
          <w:rFonts w:ascii="Times New Roman" w:eastAsia="Times New Roman" w:hAnsi="Times New Roman" w:cs="Times New Roman"/>
          <w:kern w:val="0"/>
          <w14:ligatures w14:val="none"/>
        </w:rPr>
        <w:lastRenderedPageBreak/>
        <w:t>tightly to factor four.</w:t>
      </w:r>
      <w:r>
        <w:rPr>
          <w:rStyle w:val="FootnoteReference"/>
        </w:rPr>
        <w:footnoteReference w:id="72"/>
      </w:r>
      <w:r>
        <w:rPr>
          <w:rFonts w:ascii="Times New Roman" w:eastAsia="Times New Roman" w:hAnsi="Times New Roman" w:cs="Times New Roman"/>
          <w:kern w:val="0"/>
          <w14:ligatures w14:val="none"/>
        </w:rPr>
        <w:t xml:space="preserve"> These two factors have taken, and likely will continue to take, center stage in the generative AI cases.</w:t>
      </w:r>
      <w:r>
        <w:rPr>
          <w:rStyle w:val="FootnoteReference"/>
        </w:rPr>
        <w:footnoteReference w:id="73"/>
      </w:r>
    </w:p>
    <w:p w14:paraId="55213310"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31" w:name="_Toc220693054"/>
      <w:r>
        <w:rPr>
          <w:b/>
        </w:rPr>
        <w:t xml:space="preserve">6.2 The Transformative Turn in </w:t>
      </w:r>
      <w:r>
        <w:rPr>
          <w:b/>
          <w:i/>
        </w:rPr>
        <w:t>Campbell</w:t>
      </w:r>
      <w:bookmarkEnd w:id="31"/>
    </w:p>
    <w:p w14:paraId="75B0BE08"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w:t>
      </w:r>
      <w:r>
        <w:rPr>
          <w:rFonts w:ascii="Times New Roman" w:eastAsia="Times New Roman" w:hAnsi="Times New Roman" w:cs="Times New Roman"/>
          <w:i/>
          <w:iCs/>
          <w:kern w:val="0"/>
          <w14:ligatures w14:val="none"/>
        </w:rPr>
        <w:t>Campbell</w:t>
      </w:r>
      <w:r>
        <w:rPr>
          <w:rFonts w:ascii="Times New Roman" w:eastAsia="Times New Roman" w:hAnsi="Times New Roman" w:cs="Times New Roman"/>
          <w:kern w:val="0"/>
          <w14:ligatures w14:val="none"/>
        </w:rPr>
        <w:t>, the Supreme Court reoriented fair-use doctrine from mechanical factor-counting toward a contextual inquiry focused on meaning and purpose.</w:t>
      </w:r>
      <w:r>
        <w:rPr>
          <w:rStyle w:val="FootnoteReference"/>
        </w:rPr>
        <w:footnoteReference w:id="74"/>
      </w:r>
      <w:r>
        <w:rPr>
          <w:rFonts w:ascii="Times New Roman" w:eastAsia="Times New Roman" w:hAnsi="Times New Roman" w:cs="Times New Roman"/>
          <w:kern w:val="0"/>
          <w14:ligatures w14:val="none"/>
        </w:rPr>
        <w:t xml:space="preserve"> The Court held that 2 Live Crew’s raunchy version of Roy Orbison’s classic “Oh, Pretty Woman” was a fair use because it commented on the original and added a new expression or message.</w:t>
      </w:r>
      <w:r>
        <w:rPr>
          <w:rStyle w:val="FootnoteReference"/>
        </w:rPr>
        <w:footnoteReference w:id="75"/>
      </w:r>
      <w:r>
        <w:rPr>
          <w:rFonts w:ascii="Times New Roman" w:eastAsia="Times New Roman" w:hAnsi="Times New Roman" w:cs="Times New Roman"/>
          <w:kern w:val="0"/>
          <w14:ligatures w14:val="none"/>
        </w:rPr>
        <w:t xml:space="preserve"> This shift emphasized that the question is not how much was taken, but rather to what end it is taken and used: has it transformed into something else? Subsequent decisions extended </w:t>
      </w:r>
      <w:r>
        <w:rPr>
          <w:rFonts w:ascii="Times New Roman" w:eastAsia="Times New Roman" w:hAnsi="Times New Roman" w:cs="Times New Roman"/>
          <w:i/>
          <w:iCs/>
          <w:kern w:val="0"/>
          <w14:ligatures w14:val="none"/>
        </w:rPr>
        <w:t>Campbell</w:t>
      </w:r>
      <w:r>
        <w:rPr>
          <w:rFonts w:ascii="Times New Roman" w:eastAsia="Times New Roman" w:hAnsi="Times New Roman" w:cs="Times New Roman"/>
          <w:kern w:val="0"/>
          <w14:ligatures w14:val="none"/>
        </w:rPr>
        <w:t xml:space="preserve">’s reasoning far beyond parody. Cases such as </w:t>
      </w:r>
      <w:r>
        <w:rPr>
          <w:rFonts w:ascii="Times New Roman" w:eastAsia="Times New Roman" w:hAnsi="Times New Roman" w:cs="Times New Roman"/>
          <w:i/>
          <w:iCs/>
          <w:kern w:val="0"/>
          <w14:ligatures w14:val="none"/>
        </w:rPr>
        <w:t>Bill Graham Archives v. Dorling Kindersley Ltd.</w:t>
      </w:r>
      <w:r>
        <w:rPr>
          <w:rStyle w:val="FootnoteReference"/>
        </w:rPr>
        <w:footnoteReference w:id="76"/>
      </w:r>
      <w:r>
        <w:rPr>
          <w:rFonts w:ascii="Times New Roman" w:eastAsia="Times New Roman" w:hAnsi="Times New Roman" w:cs="Times New Roman"/>
          <w:kern w:val="0"/>
          <w14:ligatures w14:val="none"/>
        </w:rPr>
        <w:t xml:space="preserve"> and </w:t>
      </w:r>
      <w:bookmarkStart w:id="32" w:name="_Hlk218715283"/>
      <w:r>
        <w:rPr>
          <w:rFonts w:ascii="Times New Roman" w:eastAsia="Times New Roman" w:hAnsi="Times New Roman" w:cs="Times New Roman"/>
          <w:i/>
          <w:iCs/>
          <w:kern w:val="0"/>
          <w14:ligatures w14:val="none"/>
        </w:rPr>
        <w:t>Authors Guild v. Google, Inc</w:t>
      </w:r>
      <w:bookmarkEnd w:id="32"/>
      <w:r>
        <w:rPr>
          <w:rFonts w:ascii="Times New Roman" w:eastAsia="Times New Roman" w:hAnsi="Times New Roman" w:cs="Times New Roman"/>
          <w:i/>
          <w:iCs/>
          <w:kern w:val="0"/>
          <w14:ligatures w14:val="none"/>
        </w:rPr>
        <w:t>.</w:t>
      </w:r>
      <w:r>
        <w:rPr>
          <w:rStyle w:val="FootnoteReference"/>
        </w:rPr>
        <w:footnoteReference w:id="77"/>
      </w:r>
      <w:r>
        <w:rPr>
          <w:rFonts w:ascii="Times New Roman" w:eastAsia="Times New Roman" w:hAnsi="Times New Roman" w:cs="Times New Roman"/>
          <w:kern w:val="0"/>
          <w14:ligatures w14:val="none"/>
        </w:rPr>
        <w:t xml:space="preserve"> found transformative use where copying served a different informational or technological purpose. The </w:t>
      </w:r>
      <w:r>
        <w:rPr>
          <w:rFonts w:ascii="Times New Roman" w:eastAsia="Times New Roman" w:hAnsi="Times New Roman" w:cs="Times New Roman"/>
          <w:i/>
          <w:iCs/>
          <w:kern w:val="0"/>
          <w14:ligatures w14:val="none"/>
        </w:rPr>
        <w:t>Google Books</w:t>
      </w:r>
      <w:r>
        <w:rPr>
          <w:rFonts w:ascii="Times New Roman" w:eastAsia="Times New Roman" w:hAnsi="Times New Roman" w:cs="Times New Roman"/>
          <w:kern w:val="0"/>
          <w14:ligatures w14:val="none"/>
        </w:rPr>
        <w:t xml:space="preserve"> decision in particular recognized that wholesale digitization of books for search indexing was “highly transformative” because it enabled new analysis without substituting for the originals.</w:t>
      </w:r>
      <w:r>
        <w:rPr>
          <w:rStyle w:val="FootnoteReference"/>
        </w:rPr>
        <w:footnoteReference w:id="78"/>
      </w:r>
    </w:p>
    <w:p w14:paraId="18773537"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Campbell</w:t>
      </w:r>
      <w:r>
        <w:rPr>
          <w:rFonts w:ascii="Times New Roman" w:eastAsia="Times New Roman" w:hAnsi="Times New Roman" w:cs="Times New Roman"/>
          <w:kern w:val="0"/>
          <w14:ligatures w14:val="none"/>
        </w:rPr>
        <w:t xml:space="preserve"> also required a more nuanced inquiry into meaning and message.</w:t>
      </w:r>
      <w:r>
        <w:rPr>
          <w:rStyle w:val="FootnoteReference"/>
        </w:rPr>
        <w:footnoteReference w:id="79"/>
      </w:r>
      <w:r>
        <w:rPr>
          <w:rFonts w:ascii="Times New Roman" w:eastAsia="Times New Roman" w:hAnsi="Times New Roman" w:cs="Times New Roman"/>
          <w:kern w:val="0"/>
          <w14:ligatures w14:val="none"/>
        </w:rPr>
        <w:t xml:space="preserve"> The decision drew on </w:t>
      </w:r>
      <w:r>
        <w:rPr>
          <w:rFonts w:ascii="Times New Roman" w:eastAsia="Times New Roman" w:hAnsi="Times New Roman" w:cs="Times New Roman"/>
          <w:i/>
          <w:iCs/>
          <w:kern w:val="0"/>
          <w14:ligatures w14:val="none"/>
        </w:rPr>
        <w:t>Bleistein v. Donaldson Lithographing Co.</w:t>
      </w:r>
      <w:r>
        <w:rPr>
          <w:rFonts w:ascii="Times New Roman" w:eastAsia="Times New Roman" w:hAnsi="Times New Roman" w:cs="Times New Roman"/>
          <w:kern w:val="0"/>
          <w14:ligatures w14:val="none"/>
        </w:rPr>
        <w:t xml:space="preserve"> to reaffirm that courts should not judge aesthetic merit but must assess whether a new work “adds something new, with a further purpose or different character.”</w:t>
      </w:r>
      <w:r>
        <w:rPr>
          <w:rStyle w:val="FootnoteReference"/>
        </w:rPr>
        <w:footnoteReference w:id="80"/>
      </w:r>
      <w:r>
        <w:rPr>
          <w:rFonts w:ascii="Times New Roman" w:eastAsia="Times New Roman" w:hAnsi="Times New Roman" w:cs="Times New Roman"/>
          <w:kern w:val="0"/>
          <w14:ligatures w14:val="none"/>
        </w:rPr>
        <w:t xml:space="preserve"> This flexible approach paved the way for later music cases such as </w:t>
      </w:r>
      <w:r>
        <w:rPr>
          <w:rFonts w:ascii="Times New Roman" w:eastAsia="Times New Roman" w:hAnsi="Times New Roman" w:cs="Times New Roman"/>
          <w:i/>
          <w:iCs/>
          <w:kern w:val="0"/>
          <w14:ligatures w14:val="none"/>
        </w:rPr>
        <w:t xml:space="preserve">Bridgeport Music, </w:t>
      </w:r>
      <w:r>
        <w:rPr>
          <w:rFonts w:ascii="Times New Roman" w:eastAsia="Times New Roman" w:hAnsi="Times New Roman" w:cs="Times New Roman"/>
          <w:i/>
          <w:iCs/>
          <w:kern w:val="0"/>
          <w14:ligatures w14:val="none"/>
        </w:rPr>
        <w:lastRenderedPageBreak/>
        <w:t>Inc. v. Dimension Films</w:t>
      </w:r>
      <w:r>
        <w:rPr>
          <w:rStyle w:val="FootnoteReference"/>
        </w:rPr>
        <w:footnoteReference w:id="81"/>
      </w:r>
      <w:r>
        <w:rPr>
          <w:rFonts w:ascii="Times New Roman" w:eastAsia="Times New Roman" w:hAnsi="Times New Roman" w:cs="Times New Roman"/>
          <w:kern w:val="0"/>
          <w14:ligatures w14:val="none"/>
        </w:rPr>
        <w:t xml:space="preserve"> and </w:t>
      </w:r>
      <w:r>
        <w:rPr>
          <w:rFonts w:ascii="Times New Roman" w:eastAsia="Times New Roman" w:hAnsi="Times New Roman" w:cs="Times New Roman"/>
          <w:i/>
          <w:iCs/>
          <w:kern w:val="0"/>
          <w14:ligatures w14:val="none"/>
        </w:rPr>
        <w:t>VMG Salsoul, LLC v. Ciccone</w:t>
      </w:r>
      <w:r>
        <w:rPr>
          <w:rFonts w:ascii="Times New Roman" w:eastAsia="Times New Roman" w:hAnsi="Times New Roman" w:cs="Times New Roman"/>
          <w:kern w:val="0"/>
          <w14:ligatures w14:val="none"/>
        </w:rPr>
        <w:t>,</w:t>
      </w:r>
      <w:r>
        <w:rPr>
          <w:rStyle w:val="FootnoteReference"/>
        </w:rPr>
        <w:footnoteReference w:id="82"/>
      </w:r>
      <w:r>
        <w:rPr>
          <w:rFonts w:ascii="Times New Roman" w:eastAsia="Times New Roman" w:hAnsi="Times New Roman" w:cs="Times New Roman"/>
          <w:kern w:val="0"/>
          <w14:ligatures w14:val="none"/>
        </w:rPr>
        <w:t xml:space="preserve"> which struggled to apply </w:t>
      </w:r>
      <w:r>
        <w:rPr>
          <w:rFonts w:ascii="Times New Roman" w:eastAsia="Times New Roman" w:hAnsi="Times New Roman" w:cs="Times New Roman"/>
          <w:i/>
          <w:iCs/>
          <w:kern w:val="0"/>
          <w14:ligatures w14:val="none"/>
        </w:rPr>
        <w:t>Campbell</w:t>
      </w:r>
      <w:r>
        <w:rPr>
          <w:rFonts w:ascii="Times New Roman" w:eastAsia="Times New Roman" w:hAnsi="Times New Roman" w:cs="Times New Roman"/>
          <w:kern w:val="0"/>
          <w14:ligatures w14:val="none"/>
        </w:rPr>
        <w:t xml:space="preserve">’s qualitative lens to digital sampling. Although </w:t>
      </w:r>
      <w:r>
        <w:rPr>
          <w:rFonts w:ascii="Times New Roman" w:eastAsia="Times New Roman" w:hAnsi="Times New Roman" w:cs="Times New Roman"/>
          <w:i/>
          <w:iCs/>
          <w:kern w:val="0"/>
          <w14:ligatures w14:val="none"/>
        </w:rPr>
        <w:t>Bridgeport</w:t>
      </w:r>
      <w:r>
        <w:rPr>
          <w:rFonts w:ascii="Times New Roman" w:eastAsia="Times New Roman" w:hAnsi="Times New Roman" w:cs="Times New Roman"/>
          <w:kern w:val="0"/>
          <w14:ligatures w14:val="none"/>
        </w:rPr>
        <w:t xml:space="preserve"> adopted a rigid “get a license or do not sample” rule,</w:t>
      </w:r>
      <w:r>
        <w:rPr>
          <w:rStyle w:val="FootnoteReference"/>
        </w:rPr>
        <w:footnoteReference w:id="83"/>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VMG Salsoul</w:t>
      </w:r>
      <w:r>
        <w:rPr>
          <w:rFonts w:ascii="Times New Roman" w:eastAsia="Times New Roman" w:hAnsi="Times New Roman" w:cs="Times New Roman"/>
          <w:kern w:val="0"/>
          <w14:ligatures w14:val="none"/>
        </w:rPr>
        <w:t xml:space="preserve"> restored </w:t>
      </w:r>
      <w:r>
        <w:rPr>
          <w:rFonts w:ascii="Times New Roman" w:eastAsia="Times New Roman" w:hAnsi="Times New Roman" w:cs="Times New Roman"/>
          <w:i/>
          <w:iCs/>
          <w:kern w:val="0"/>
          <w14:ligatures w14:val="none"/>
        </w:rPr>
        <w:t>Campbell</w:t>
      </w:r>
      <w:r>
        <w:rPr>
          <w:rFonts w:ascii="Times New Roman" w:eastAsia="Times New Roman" w:hAnsi="Times New Roman" w:cs="Times New Roman"/>
          <w:kern w:val="0"/>
          <w14:ligatures w14:val="none"/>
        </w:rPr>
        <w:t>’s balancing by holding that de minimis copying of a horn hit was not infringing because it lacked expressive significance.</w:t>
      </w:r>
      <w:r>
        <w:rPr>
          <w:rStyle w:val="FootnoteReference"/>
        </w:rPr>
        <w:footnoteReference w:id="84"/>
      </w:r>
    </w:p>
    <w:p w14:paraId="30413FA5" w14:textId="11B039AC"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i/>
          <w:kern w:val="0"/>
          <w14:ligatures w14:val="none"/>
        </w:rPr>
        <w:t>Campbell’s</w:t>
      </w:r>
      <w:r>
        <w:rPr>
          <w:rFonts w:ascii="Times New Roman" w:eastAsia="Times New Roman" w:hAnsi="Times New Roman" w:cs="Times New Roman"/>
          <w:kern w:val="0"/>
          <w14:ligatures w14:val="none"/>
        </w:rPr>
        <w:t xml:space="preserve"> “transformative turn” thus reframed fair use as a question of functional repurposing. A use </w:t>
      </w:r>
      <w:proofErr w:type="gramStart"/>
      <w:r>
        <w:rPr>
          <w:rFonts w:ascii="Times New Roman" w:eastAsia="Times New Roman" w:hAnsi="Times New Roman" w:cs="Times New Roman"/>
          <w:kern w:val="0"/>
          <w14:ligatures w14:val="none"/>
        </w:rPr>
        <w:t>need</w:t>
      </w:r>
      <w:proofErr w:type="gramEnd"/>
      <w:r>
        <w:rPr>
          <w:rFonts w:ascii="Times New Roman" w:eastAsia="Times New Roman" w:hAnsi="Times New Roman" w:cs="Times New Roman"/>
          <w:kern w:val="0"/>
          <w14:ligatures w14:val="none"/>
        </w:rPr>
        <w:t xml:space="preserve"> not comment on the original; it may instead convert it to a new medium, context, or analytical frame. This doctrinal elasticity proved crucial as courts faced new creative technologies</w:t>
      </w:r>
      <w:r w:rsidR="008B70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from collage art to software interfaces</w:t>
      </w:r>
      <w:r w:rsidR="008B70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and now provides a doctrinal bridge to AI training and output.</w:t>
      </w:r>
    </w:p>
    <w:p w14:paraId="52336D6A"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33" w:name="_Toc220693055"/>
      <w:r>
        <w:rPr>
          <w:b/>
        </w:rPr>
        <w:t xml:space="preserve">6.3 </w:t>
      </w:r>
      <w:r>
        <w:rPr>
          <w:b/>
          <w:i/>
        </w:rPr>
        <w:t>Warhol</w:t>
      </w:r>
      <w:r>
        <w:rPr>
          <w:b/>
        </w:rPr>
        <w:t>, Market Effect, and AI</w:t>
      </w:r>
      <w:bookmarkEnd w:id="33"/>
    </w:p>
    <w:p w14:paraId="19F9587F" w14:textId="30A1310F"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Generative AI systems test </w:t>
      </w:r>
      <w:r>
        <w:rPr>
          <w:rFonts w:ascii="Times New Roman" w:eastAsia="Times New Roman" w:hAnsi="Times New Roman" w:cs="Times New Roman"/>
          <w:i/>
          <w:iCs/>
          <w:kern w:val="0"/>
          <w14:ligatures w14:val="none"/>
        </w:rPr>
        <w:t>Campbell</w:t>
      </w:r>
      <w:r>
        <w:rPr>
          <w:rFonts w:ascii="Times New Roman" w:eastAsia="Times New Roman" w:hAnsi="Times New Roman" w:cs="Times New Roman"/>
          <w:kern w:val="0"/>
          <w14:ligatures w14:val="none"/>
        </w:rPr>
        <w:t xml:space="preserve">’s logic at scale. Training involves copying vast numbers of works to extract patterns and structures, not to replicate expressive content. The question, as in </w:t>
      </w:r>
      <w:r>
        <w:rPr>
          <w:rFonts w:ascii="Times New Roman" w:eastAsia="Times New Roman" w:hAnsi="Times New Roman" w:cs="Times New Roman"/>
          <w:i/>
          <w:iCs/>
          <w:kern w:val="0"/>
          <w14:ligatures w14:val="none"/>
        </w:rPr>
        <w:t>Google Books</w:t>
      </w:r>
      <w:r>
        <w:rPr>
          <w:rFonts w:ascii="Times New Roman" w:eastAsia="Times New Roman" w:hAnsi="Times New Roman" w:cs="Times New Roman"/>
          <w:kern w:val="0"/>
          <w14:ligatures w14:val="none"/>
        </w:rPr>
        <w:t>, is whether such use is analytically transformative</w:t>
      </w:r>
      <w:r w:rsidR="008B70C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serving a new function rather than substituting for the originals.</w:t>
      </w:r>
      <w:r>
        <w:rPr>
          <w:rStyle w:val="FootnoteReference"/>
        </w:rPr>
        <w:footnoteReference w:id="85"/>
      </w:r>
      <w:r>
        <w:rPr>
          <w:rFonts w:ascii="Times New Roman" w:eastAsia="Times New Roman" w:hAnsi="Times New Roman" w:cs="Times New Roman"/>
          <w:kern w:val="0"/>
          <w14:ligatures w14:val="none"/>
        </w:rPr>
        <w:t xml:space="preserve"> If the ingestion of works merely teaches the system relationships among styles, themes, or techniques, the use may resemble study rather than exploitation.</w:t>
      </w:r>
    </w:p>
    <w:p w14:paraId="0DC4C393"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When AI outputs are challenged as derivative, courts will necessarily confront </w:t>
      </w:r>
      <w:r>
        <w:rPr>
          <w:rFonts w:ascii="Times New Roman" w:eastAsia="Times New Roman" w:hAnsi="Times New Roman" w:cs="Times New Roman"/>
          <w:i/>
          <w:iCs/>
          <w:kern w:val="0"/>
          <w14:ligatures w14:val="none"/>
        </w:rPr>
        <w:t>Andy Warhol Foundation for the Visual Arts, Inc. v. Goldsmith</w:t>
      </w:r>
      <w:r>
        <w:rPr>
          <w:rFonts w:ascii="Times New Roman" w:eastAsia="Times New Roman" w:hAnsi="Times New Roman" w:cs="Times New Roman"/>
          <w:iCs/>
          <w:kern w:val="0"/>
          <w14:ligatures w14:val="none"/>
        </w:rPr>
        <w:t>,</w:t>
      </w:r>
      <w:r>
        <w:rPr>
          <w:rFonts w:ascii="Times New Roman" w:eastAsia="Times New Roman" w:hAnsi="Times New Roman" w:cs="Times New Roman"/>
          <w:kern w:val="0"/>
          <w14:ligatures w14:val="none"/>
        </w:rPr>
        <w:t xml:space="preserve"> which recalibrated the transformative inquiry.</w:t>
      </w:r>
      <w:r>
        <w:rPr>
          <w:rStyle w:val="FootnoteReference"/>
        </w:rPr>
        <w:footnoteReference w:id="86"/>
      </w:r>
      <w:r>
        <w:rPr>
          <w:rFonts w:ascii="Times New Roman" w:eastAsia="Times New Roman" w:hAnsi="Times New Roman" w:cs="Times New Roman"/>
          <w:kern w:val="0"/>
          <w14:ligatures w14:val="none"/>
        </w:rPr>
        <w:t xml:space="preserve"> The Court warned that </w:t>
      </w:r>
      <w:r>
        <w:rPr>
          <w:rFonts w:ascii="Times New Roman" w:eastAsia="Times New Roman" w:hAnsi="Times New Roman" w:cs="Times New Roman"/>
          <w:i/>
          <w:kern w:val="0"/>
          <w14:ligatures w14:val="none"/>
        </w:rPr>
        <w:t>Campbell’s</w:t>
      </w:r>
      <w:r>
        <w:rPr>
          <w:rFonts w:ascii="Times New Roman" w:eastAsia="Times New Roman" w:hAnsi="Times New Roman" w:cs="Times New Roman"/>
          <w:kern w:val="0"/>
          <w14:ligatures w14:val="none"/>
        </w:rPr>
        <w:t xml:space="preserve"> reach cannot be too broad:</w:t>
      </w:r>
    </w:p>
    <w:p w14:paraId="508FA429" w14:textId="77777777" w:rsidR="00A75C8E" w:rsidRDefault="004C556B" w:rsidP="008372DB">
      <w:pPr>
        <w:spacing w:beforeAutospacing="1" w:afterAutospacing="1"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Campbell</w:t>
      </w:r>
      <w:r>
        <w:rPr>
          <w:rFonts w:ascii="Times New Roman" w:eastAsia="Times New Roman" w:hAnsi="Times New Roman" w:cs="Times New Roman"/>
          <w:kern w:val="0"/>
          <w14:ligatures w14:val="none"/>
        </w:rPr>
        <w:t xml:space="preserve"> cannot be read to mean that [fair use factor one] weighs in favor of any use that adds some new expression, meaning, or message</w:t>
      </w:r>
      <w:proofErr w:type="gramStart"/>
      <w:r>
        <w:rPr>
          <w:rFonts w:ascii="Times New Roman" w:eastAsia="Times New Roman" w:hAnsi="Times New Roman" w:cs="Times New Roman"/>
          <w:kern w:val="0"/>
          <w14:ligatures w14:val="none"/>
        </w:rPr>
        <w:t>. . . .</w:t>
      </w:r>
      <w:proofErr w:type="gramEnd"/>
      <w:r>
        <w:rPr>
          <w:rFonts w:ascii="Times New Roman" w:eastAsia="Times New Roman" w:hAnsi="Times New Roman" w:cs="Times New Roman"/>
          <w:kern w:val="0"/>
          <w14:ligatures w14:val="none"/>
        </w:rPr>
        <w:t xml:space="preserve"> Otherwise, “transformative use” would swallow the copyright owner’s exclusive right to prepare derivative works. Many derivative works, including musical arrangements, film and stage adaptions, sequels, spinoffs, and others that . . . add new expression, meaning or message, or provide new information, new aesthetics, new insights and understandings. That is an intractable problem for [defendant’s] interpretation of transformative use.</w:t>
      </w:r>
      <w:r>
        <w:rPr>
          <w:rStyle w:val="FootnoteReference"/>
        </w:rPr>
        <w:footnoteReference w:id="87"/>
      </w:r>
    </w:p>
    <w:p w14:paraId="319996DB"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Goldsmith had granted Warhol a limited license to use her photograph of Prince in 1984 for </w:t>
      </w:r>
      <w:r>
        <w:rPr>
          <w:rFonts w:ascii="Times New Roman" w:eastAsia="Times New Roman" w:hAnsi="Times New Roman" w:cs="Times New Roman"/>
          <w:i/>
          <w:iCs/>
          <w:kern w:val="0"/>
          <w14:ligatures w14:val="none"/>
        </w:rPr>
        <w:t>Vanity Fair</w:t>
      </w:r>
      <w:r>
        <w:rPr>
          <w:rFonts w:ascii="Times New Roman" w:eastAsia="Times New Roman" w:hAnsi="Times New Roman" w:cs="Times New Roman"/>
          <w:kern w:val="0"/>
          <w14:ligatures w14:val="none"/>
        </w:rPr>
        <w:t xml:space="preserve">. Warhol then produced sixteen near-identical silkscreens in varying colors and later licensed </w:t>
      </w:r>
      <w:r>
        <w:rPr>
          <w:rFonts w:ascii="Times New Roman" w:eastAsia="Times New Roman" w:hAnsi="Times New Roman" w:cs="Times New Roman"/>
          <w:kern w:val="0"/>
          <w14:ligatures w14:val="none"/>
        </w:rPr>
        <w:lastRenderedPageBreak/>
        <w:t xml:space="preserve">one to </w:t>
      </w:r>
      <w:r>
        <w:rPr>
          <w:rFonts w:ascii="Times New Roman" w:eastAsia="Times New Roman" w:hAnsi="Times New Roman" w:cs="Times New Roman"/>
          <w:i/>
          <w:iCs/>
          <w:kern w:val="0"/>
          <w14:ligatures w14:val="none"/>
        </w:rPr>
        <w:t xml:space="preserve">Condé Nast </w:t>
      </w:r>
      <w:r>
        <w:rPr>
          <w:rFonts w:ascii="Times New Roman" w:eastAsia="Times New Roman" w:hAnsi="Times New Roman" w:cs="Times New Roman"/>
          <w:kern w:val="0"/>
          <w14:ligatures w14:val="none"/>
        </w:rPr>
        <w:t>after Prince’s death.</w:t>
      </w:r>
      <w:r>
        <w:rPr>
          <w:rStyle w:val="FootnoteReference"/>
        </w:rPr>
        <w:footnoteReference w:id="88"/>
      </w:r>
      <w:r>
        <w:rPr>
          <w:rFonts w:ascii="Times New Roman" w:eastAsia="Times New Roman" w:hAnsi="Times New Roman" w:cs="Times New Roman"/>
          <w:kern w:val="0"/>
          <w14:ligatures w14:val="none"/>
        </w:rPr>
        <w:t xml:space="preserve"> The Court explained that stylistic additions or differences are not enough where the secondary use targets the same commercial licensing market as the original photograph (i.e., magazine portrait licensing).</w:t>
      </w:r>
      <w:r>
        <w:rPr>
          <w:rStyle w:val="FootnoteReference"/>
        </w:rPr>
        <w:footnoteReference w:id="89"/>
      </w:r>
      <w:r>
        <w:rPr>
          <w:rFonts w:ascii="Times New Roman" w:eastAsia="Times New Roman" w:hAnsi="Times New Roman" w:cs="Times New Roman"/>
          <w:kern w:val="0"/>
          <w14:ligatures w14:val="none"/>
        </w:rPr>
        <w:t xml:space="preserve"> In evaluating (fair use) factor four market effect, the Court entirely ignored Warhol’s fame.</w:t>
      </w:r>
      <w:r>
        <w:rPr>
          <w:rStyle w:val="FootnoteReference"/>
        </w:rPr>
        <w:footnoteReference w:id="90"/>
      </w:r>
    </w:p>
    <w:p w14:paraId="6C3D20DA"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Court stressed that transformation must be evaluated for the specific secondary use at issue, not in the abstract, and held that licensing a Warhol silkscreen into the same editorial market as the underlying copyrighted photograph is not transformative (even if it is a ‘Warhol’).</w:t>
      </w:r>
      <w:r>
        <w:rPr>
          <w:rStyle w:val="FootnoteReference"/>
        </w:rPr>
        <w:footnoteReference w:id="91"/>
      </w:r>
      <w:r>
        <w:rPr>
          <w:rFonts w:ascii="Times New Roman" w:eastAsia="Times New Roman" w:hAnsi="Times New Roman" w:cs="Times New Roman"/>
          <w:kern w:val="0"/>
          <w14:ligatures w14:val="none"/>
        </w:rPr>
        <w:t xml:space="preserve"> In that sense, </w:t>
      </w:r>
      <w:r>
        <w:rPr>
          <w:rFonts w:ascii="Times New Roman" w:eastAsia="Times New Roman" w:hAnsi="Times New Roman" w:cs="Times New Roman"/>
          <w:i/>
          <w:iCs/>
          <w:kern w:val="0"/>
          <w14:ligatures w14:val="none"/>
        </w:rPr>
        <w:t>Warhol</w:t>
      </w:r>
      <w:r>
        <w:rPr>
          <w:rFonts w:ascii="Times New Roman" w:eastAsia="Times New Roman" w:hAnsi="Times New Roman" w:cs="Times New Roman"/>
          <w:kern w:val="0"/>
          <w14:ligatures w14:val="none"/>
        </w:rPr>
        <w:t xml:space="preserve"> narrows </w:t>
      </w:r>
      <w:r>
        <w:rPr>
          <w:rFonts w:ascii="Times New Roman" w:eastAsia="Times New Roman" w:hAnsi="Times New Roman" w:cs="Times New Roman"/>
          <w:i/>
          <w:iCs/>
          <w:kern w:val="0"/>
          <w14:ligatures w14:val="none"/>
        </w:rPr>
        <w:t>Campbell’s</w:t>
      </w:r>
      <w:r>
        <w:rPr>
          <w:rFonts w:ascii="Times New Roman" w:eastAsia="Times New Roman" w:hAnsi="Times New Roman" w:cs="Times New Roman"/>
          <w:kern w:val="0"/>
          <w14:ligatures w14:val="none"/>
        </w:rPr>
        <w:t xml:space="preserve"> reach: aesthetic difference alone will not satisfy factor one where the secondary use targets the same market as the original.</w:t>
      </w:r>
      <w:r>
        <w:rPr>
          <w:rStyle w:val="FootnoteReference"/>
        </w:rPr>
        <w:footnoteReference w:id="92"/>
      </w:r>
      <w:r>
        <w:rPr>
          <w:rFonts w:ascii="Times New Roman" w:eastAsia="Times New Roman" w:hAnsi="Times New Roman" w:cs="Times New Roman"/>
          <w:kern w:val="0"/>
          <w14:ligatures w14:val="none"/>
        </w:rPr>
        <w:t xml:space="preserve"> Put differently, </w:t>
      </w:r>
      <w:r>
        <w:rPr>
          <w:rFonts w:ascii="Times New Roman" w:eastAsia="Times New Roman" w:hAnsi="Times New Roman" w:cs="Times New Roman"/>
          <w:i/>
          <w:iCs/>
          <w:kern w:val="0"/>
          <w14:ligatures w14:val="none"/>
        </w:rPr>
        <w:t>Campbell’s</w:t>
      </w:r>
      <w:r>
        <w:rPr>
          <w:rFonts w:ascii="Times New Roman" w:eastAsia="Times New Roman" w:hAnsi="Times New Roman" w:cs="Times New Roman"/>
          <w:kern w:val="0"/>
          <w14:ligatures w14:val="none"/>
        </w:rPr>
        <w:t xml:space="preserve"> “adds something new” inquiry no longer carries the day unless the purpose and market context of the second use are distinct. That is why </w:t>
      </w:r>
      <w:r>
        <w:rPr>
          <w:rFonts w:ascii="Times New Roman" w:hAnsi="Times New Roman"/>
          <w:kern w:val="0"/>
          <w14:ligatures w14:val="none"/>
        </w:rPr>
        <w:t>Google Books</w:t>
      </w:r>
      <w:r>
        <w:rPr>
          <w:rFonts w:ascii="Times New Roman" w:eastAsia="Times New Roman" w:hAnsi="Times New Roman" w:cs="Times New Roman"/>
          <w:kern w:val="0"/>
          <w14:ligatures w14:val="none"/>
        </w:rPr>
        <w:t xml:space="preserve">’ search/indexing was fair (different function, no substitution), while </w:t>
      </w:r>
      <w:r>
        <w:rPr>
          <w:rFonts w:ascii="Times New Roman" w:eastAsia="Times New Roman" w:hAnsi="Times New Roman" w:cs="Times New Roman"/>
          <w:i/>
          <w:iCs/>
          <w:kern w:val="0"/>
          <w14:ligatures w14:val="none"/>
        </w:rPr>
        <w:t>Warhol</w:t>
      </w:r>
      <w:r>
        <w:rPr>
          <w:rFonts w:ascii="Times New Roman" w:eastAsia="Times New Roman" w:hAnsi="Times New Roman" w:cs="Times New Roman"/>
          <w:kern w:val="0"/>
          <w14:ligatures w14:val="none"/>
        </w:rPr>
        <w:t>’s magazine license was not (same editorial market).</w:t>
      </w:r>
      <w:r>
        <w:rPr>
          <w:rStyle w:val="FootnoteReference"/>
        </w:rPr>
        <w:footnoteReference w:id="93"/>
      </w:r>
    </w:p>
    <w:p w14:paraId="00224E79"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Factor four likewise loomed large in </w:t>
      </w:r>
      <w:r>
        <w:rPr>
          <w:rFonts w:ascii="Times New Roman" w:eastAsia="Times New Roman" w:hAnsi="Times New Roman" w:cs="Times New Roman"/>
          <w:i/>
          <w:iCs/>
          <w:kern w:val="0"/>
          <w14:ligatures w14:val="none"/>
        </w:rPr>
        <w:t>Warhol</w:t>
      </w:r>
      <w:r>
        <w:rPr>
          <w:rFonts w:ascii="Times New Roman" w:eastAsia="Times New Roman" w:hAnsi="Times New Roman" w:cs="Times New Roman"/>
          <w:kern w:val="0"/>
          <w14:ligatures w14:val="none"/>
        </w:rPr>
        <w:t>: by occupying the same editorial licensing market, the secondary use cut against fair use;</w:t>
      </w:r>
      <w:r>
        <w:rPr>
          <w:rStyle w:val="FootnoteReference"/>
        </w:rPr>
        <w:footnoteReference w:id="94"/>
      </w:r>
      <w:r>
        <w:rPr>
          <w:rFonts w:ascii="Times New Roman" w:eastAsia="Times New Roman" w:hAnsi="Times New Roman" w:cs="Times New Roman"/>
          <w:kern w:val="0"/>
          <w14:ligatures w14:val="none"/>
        </w:rPr>
        <w:t xml:space="preserve"> and as the Court noted, it had previously recognized in </w:t>
      </w:r>
      <w:r>
        <w:rPr>
          <w:rFonts w:ascii="Times New Roman" w:eastAsia="Times New Roman" w:hAnsi="Times New Roman" w:cs="Times New Roman"/>
          <w:i/>
          <w:kern w:val="0"/>
          <w14:ligatures w14:val="none"/>
        </w:rPr>
        <w:t>Harper &amp; Row, Publishers, Inc. v. Nation Enterprises</w:t>
      </w:r>
      <w:r>
        <w:rPr>
          <w:rFonts w:ascii="Times New Roman" w:eastAsia="Times New Roman" w:hAnsi="Times New Roman" w:cs="Times New Roman"/>
          <w:kern w:val="0"/>
          <w14:ligatures w14:val="none"/>
        </w:rPr>
        <w:t>, that factor four is “undoubtedly the single most important element of fair use.”</w:t>
      </w:r>
      <w:r>
        <w:rPr>
          <w:rStyle w:val="FootnoteReference"/>
        </w:rPr>
        <w:footnoteReference w:id="95"/>
      </w:r>
      <w:r>
        <w:rPr>
          <w:rFonts w:ascii="Times New Roman" w:eastAsia="Times New Roman" w:hAnsi="Times New Roman" w:cs="Times New Roman"/>
          <w:kern w:val="0"/>
          <w14:ligatures w14:val="none"/>
        </w:rPr>
        <w:t xml:space="preserve"> For AI, the analysis bifurcates: training that enables search/analysis (like </w:t>
      </w:r>
      <w:r>
        <w:rPr>
          <w:rFonts w:ascii="Times New Roman" w:eastAsia="Times New Roman" w:hAnsi="Times New Roman" w:cs="Times New Roman"/>
          <w:i/>
          <w:iCs/>
          <w:kern w:val="0"/>
          <w14:ligatures w14:val="none"/>
        </w:rPr>
        <w:t>Google Books</w:t>
      </w:r>
      <w:r>
        <w:rPr>
          <w:rFonts w:ascii="Times New Roman" w:eastAsia="Times New Roman" w:hAnsi="Times New Roman" w:cs="Times New Roman"/>
          <w:kern w:val="0"/>
          <w14:ligatures w14:val="none"/>
        </w:rPr>
        <w:t>) is typically non-substitutive and more likely fair use; whereas outputs or model offerings that function as market substitutes for licensed images, music, or text are more likely to weigh against fair use.</w:t>
      </w:r>
      <w:r>
        <w:rPr>
          <w:rStyle w:val="FootnoteReference"/>
        </w:rPr>
        <w:footnoteReference w:id="96"/>
      </w:r>
      <w:r>
        <w:rPr>
          <w:rFonts w:ascii="Times New Roman" w:eastAsia="Times New Roman" w:hAnsi="Times New Roman" w:cs="Times New Roman"/>
          <w:kern w:val="0"/>
          <w14:ligatures w14:val="none"/>
        </w:rPr>
        <w:t xml:space="preserve"> Factors one and four appear to be intertwined now in any fair use analysis, particularly in generative-AI cases.</w:t>
      </w:r>
    </w:p>
    <w:p w14:paraId="2ACD037B" w14:textId="77777777" w:rsidR="00A75C8E" w:rsidRDefault="004C556B" w:rsidP="008372DB">
      <w:pPr>
        <w:spacing w:beforeAutospacing="1" w:afterAutospacing="1" w:line="240" w:lineRule="auto"/>
        <w:jc w:val="both"/>
        <w:outlineLvl w:val="1"/>
        <w:rPr>
          <w:b/>
        </w:rPr>
      </w:pPr>
      <w:bookmarkStart w:id="34" w:name="_Toc220693056"/>
      <w:r>
        <w:rPr>
          <w:b/>
        </w:rPr>
        <w:t>7 THE RIGHT OF PUBLICITY: WHERE LIKENESS MEETS EXPRESSION</w:t>
      </w:r>
      <w:bookmarkEnd w:id="34"/>
    </w:p>
    <w:p w14:paraId="4206F49C" w14:textId="7035E441" w:rsidR="001D5BE0" w:rsidRDefault="001D5BE0" w:rsidP="001D5BE0">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Another issue raised in </w:t>
      </w:r>
      <w:r>
        <w:rPr>
          <w:rFonts w:ascii="Times New Roman" w:eastAsia="Times New Roman" w:hAnsi="Times New Roman" w:cs="Times New Roman"/>
          <w:i/>
          <w:kern w:val="0"/>
          <w14:ligatures w14:val="none"/>
        </w:rPr>
        <w:t>Warhol</w:t>
      </w:r>
      <w:r>
        <w:rPr>
          <w:rFonts w:ascii="Times New Roman" w:eastAsia="Times New Roman" w:hAnsi="Times New Roman" w:cs="Times New Roman"/>
          <w:kern w:val="0"/>
          <w14:ligatures w14:val="none"/>
        </w:rPr>
        <w:t xml:space="preserve"> that will not be insignificant, particularly in generative-AI cases involving images, graphics or videos, will be the notions of what is “art” and what is “fame,” and how relevant are they, if at all, in determining both transformation and substantial similarity in generated output. Section 7.1 </w:t>
      </w:r>
      <w:r w:rsidR="00C65EB5">
        <w:rPr>
          <w:rFonts w:ascii="Times New Roman" w:eastAsia="Times New Roman" w:hAnsi="Times New Roman" w:cs="Times New Roman"/>
          <w:kern w:val="0"/>
          <w14:ligatures w14:val="none"/>
        </w:rPr>
        <w:t xml:space="preserve">explains </w:t>
      </w:r>
      <w:r>
        <w:rPr>
          <w:rFonts w:ascii="Times New Roman" w:eastAsia="Times New Roman" w:hAnsi="Times New Roman" w:cs="Times New Roman"/>
          <w:kern w:val="0"/>
          <w14:ligatures w14:val="none"/>
        </w:rPr>
        <w:t>how the right of publicity will become more important in the age of AI. Section 7.2 illustrates, by way of example, how copyright and the right of publicity are becoming more intertwined. Section 7.3</w:t>
      </w:r>
      <w:r w:rsidR="00724127">
        <w:rPr>
          <w:rFonts w:ascii="Times New Roman" w:eastAsia="Times New Roman" w:hAnsi="Times New Roman" w:cs="Times New Roman"/>
          <w:kern w:val="0"/>
          <w14:ligatures w14:val="none"/>
        </w:rPr>
        <w:t xml:space="preserve"> shows how th</w:t>
      </w:r>
      <w:r w:rsidR="00C02E85">
        <w:rPr>
          <w:rFonts w:ascii="Times New Roman" w:eastAsia="Times New Roman" w:hAnsi="Times New Roman" w:cs="Times New Roman"/>
          <w:kern w:val="0"/>
          <w14:ligatures w14:val="none"/>
        </w:rPr>
        <w:t>ese</w:t>
      </w:r>
      <w:r w:rsidR="00724127">
        <w:rPr>
          <w:rFonts w:ascii="Times New Roman" w:eastAsia="Times New Roman" w:hAnsi="Times New Roman" w:cs="Times New Roman"/>
          <w:kern w:val="0"/>
          <w14:ligatures w14:val="none"/>
        </w:rPr>
        <w:t xml:space="preserve"> interaction</w:t>
      </w:r>
      <w:r w:rsidR="00C02E85">
        <w:rPr>
          <w:rFonts w:ascii="Times New Roman" w:eastAsia="Times New Roman" w:hAnsi="Times New Roman" w:cs="Times New Roman"/>
          <w:kern w:val="0"/>
          <w14:ligatures w14:val="none"/>
        </w:rPr>
        <w:t>s are</w:t>
      </w:r>
      <w:r w:rsidR="00724127">
        <w:rPr>
          <w:rFonts w:ascii="Times New Roman" w:eastAsia="Times New Roman" w:hAnsi="Times New Roman" w:cs="Times New Roman"/>
          <w:kern w:val="0"/>
          <w14:ligatures w14:val="none"/>
        </w:rPr>
        <w:t xml:space="preserve"> being accelerated by AI. Finally, Section 7.4 addresses the questions: what is “art” and what is “fame.”</w:t>
      </w:r>
    </w:p>
    <w:p w14:paraId="160B4B4B"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35" w:name="_Toc220693057"/>
      <w:r>
        <w:rPr>
          <w:b/>
        </w:rPr>
        <w:lastRenderedPageBreak/>
        <w:t>7.1 Where Copyright Ends and the Right of Publicity Begins</w:t>
      </w:r>
      <w:bookmarkEnd w:id="35"/>
    </w:p>
    <w:p w14:paraId="4A544C45" w14:textId="5E8292F0"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boundary between copyright and the right of publicity marks one of the most complex intersections in modern intellectual property law.</w:t>
      </w:r>
      <w:r>
        <w:rPr>
          <w:rStyle w:val="FootnoteReference"/>
        </w:rPr>
        <w:footnoteReference w:id="97"/>
      </w:r>
      <w:r>
        <w:rPr>
          <w:rFonts w:ascii="Times New Roman" w:eastAsia="Times New Roman" w:hAnsi="Times New Roman" w:cs="Times New Roman"/>
          <w:kern w:val="0"/>
          <w14:ligatures w14:val="none"/>
        </w:rPr>
        <w:t xml:space="preserve"> Both doctrines seek to encourage creativity and prevent misappropriation, yet they protect fundamentally different subjects. Copyright governs </w:t>
      </w:r>
      <w:r>
        <w:rPr>
          <w:rFonts w:ascii="Times New Roman" w:eastAsia="Times New Roman" w:hAnsi="Times New Roman" w:cs="Times New Roman"/>
          <w:i/>
          <w:iCs/>
          <w:kern w:val="0"/>
          <w14:ligatures w14:val="none"/>
        </w:rPr>
        <w:t>expression</w:t>
      </w:r>
      <w:r w:rsidR="009E4846" w:rsidRPr="008372DB">
        <w:rPr>
          <w:rFonts w:ascii="Times New Roman" w:eastAsia="Times New Roman" w:hAnsi="Times New Roman" w:cs="Times New Roman"/>
          <w:kern w:val="0"/>
          <w14:ligatures w14:val="none"/>
        </w:rPr>
        <w:t>,</w:t>
      </w:r>
      <w:r w:rsidR="009E4846">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kern w:val="0"/>
          <w14:ligatures w14:val="none"/>
        </w:rPr>
        <w:t>the creative form of an idea once fixed in a tangible medium</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while the right of publicity safeguards </w:t>
      </w:r>
      <w:r>
        <w:rPr>
          <w:rFonts w:ascii="Times New Roman" w:eastAsia="Times New Roman" w:hAnsi="Times New Roman" w:cs="Times New Roman"/>
          <w:i/>
          <w:iCs/>
          <w:kern w:val="0"/>
          <w14:ligatures w14:val="none"/>
        </w:rPr>
        <w:t>identity</w:t>
      </w:r>
      <w:r w:rsidR="009E4846" w:rsidRPr="008372DB">
        <w:rPr>
          <w:rFonts w:ascii="Times New Roman" w:eastAsia="Times New Roman" w:hAnsi="Times New Roman" w:cs="Times New Roman"/>
          <w:kern w:val="0"/>
          <w14:ligatures w14:val="none"/>
        </w:rPr>
        <w:t>,</w:t>
      </w:r>
      <w:r w:rsidR="009E4846">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kern w:val="0"/>
          <w14:ligatures w14:val="none"/>
        </w:rPr>
        <w:t>the commercial value of an individual’s name, likeness, or persona. Where copyright limits the copying of expression, the right of publicity limits the copying of self.</w:t>
      </w:r>
    </w:p>
    <w:p w14:paraId="1EFECC9C" w14:textId="3B7F3753"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distinction, however, has never been perfectly clean. As technology evolves, expression and identity often converge. The same digital image, sound recording, or avatar can simultaneously embody both </w:t>
      </w:r>
      <w:proofErr w:type="gramStart"/>
      <w:r>
        <w:rPr>
          <w:rFonts w:ascii="Times New Roman" w:eastAsia="Times New Roman" w:hAnsi="Times New Roman" w:cs="Times New Roman"/>
          <w:kern w:val="0"/>
          <w14:ligatures w14:val="none"/>
        </w:rPr>
        <w:t>a creative</w:t>
      </w:r>
      <w:proofErr w:type="gramEnd"/>
      <w:r>
        <w:rPr>
          <w:rFonts w:ascii="Times New Roman" w:eastAsia="Times New Roman" w:hAnsi="Times New Roman" w:cs="Times New Roman"/>
          <w:kern w:val="0"/>
          <w14:ligatures w14:val="none"/>
        </w:rPr>
        <w:t xml:space="preserve"> work and the likeness of a real person. When that happens, the boundary between copyright and the right of publicity begins to blur. Generative-AI products that create music and images have already entered this realm.</w:t>
      </w:r>
    </w:p>
    <w:p w14:paraId="2FFC3279"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California courts have long recognized that expressive works may depict real people without violating their rights of publicity, so long as the use is transformative.</w:t>
      </w:r>
      <w:r>
        <w:rPr>
          <w:rStyle w:val="FootnoteReference"/>
        </w:rPr>
        <w:footnoteReference w:id="98"/>
      </w:r>
      <w:r>
        <w:rPr>
          <w:rFonts w:ascii="Times New Roman" w:eastAsia="Times New Roman" w:hAnsi="Times New Roman" w:cs="Times New Roman"/>
          <w:kern w:val="0"/>
          <w14:ligatures w14:val="none"/>
        </w:rPr>
        <w:t xml:space="preserve"> The key question is whether the work adds significant creative elements that transform the likeness into something </w:t>
      </w:r>
      <w:proofErr w:type="gramStart"/>
      <w:r>
        <w:rPr>
          <w:rFonts w:ascii="Times New Roman" w:eastAsia="Times New Roman" w:hAnsi="Times New Roman" w:cs="Times New Roman"/>
          <w:kern w:val="0"/>
          <w14:ligatures w14:val="none"/>
        </w:rPr>
        <w:t>new, or</w:t>
      </w:r>
      <w:proofErr w:type="gramEnd"/>
      <w:r>
        <w:rPr>
          <w:rFonts w:ascii="Times New Roman" w:eastAsia="Times New Roman" w:hAnsi="Times New Roman" w:cs="Times New Roman"/>
          <w:kern w:val="0"/>
          <w14:ligatures w14:val="none"/>
        </w:rPr>
        <w:t xml:space="preserve"> merely </w:t>
      </w:r>
      <w:proofErr w:type="gramStart"/>
      <w:r>
        <w:rPr>
          <w:rFonts w:ascii="Times New Roman" w:eastAsia="Times New Roman" w:hAnsi="Times New Roman" w:cs="Times New Roman"/>
          <w:kern w:val="0"/>
          <w14:ligatures w14:val="none"/>
        </w:rPr>
        <w:t>appropriates</w:t>
      </w:r>
      <w:proofErr w:type="gramEnd"/>
      <w:r>
        <w:rPr>
          <w:rFonts w:ascii="Times New Roman" w:eastAsia="Times New Roman" w:hAnsi="Times New Roman" w:cs="Times New Roman"/>
          <w:kern w:val="0"/>
          <w14:ligatures w14:val="none"/>
        </w:rPr>
        <w:t xml:space="preserve"> the plaintiff’s identity for commercial gain.</w:t>
      </w:r>
    </w:p>
    <w:p w14:paraId="79290F77"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w:t>
      </w:r>
      <w:r>
        <w:rPr>
          <w:rFonts w:ascii="Times New Roman" w:eastAsia="Times New Roman" w:hAnsi="Times New Roman" w:cs="Times New Roman"/>
          <w:i/>
          <w:iCs/>
          <w:kern w:val="0"/>
          <w14:ligatures w14:val="none"/>
        </w:rPr>
        <w:t>Kirby v. Sega of America, Inc.</w:t>
      </w:r>
      <w:r>
        <w:rPr>
          <w:rFonts w:ascii="Times New Roman" w:eastAsia="Times New Roman" w:hAnsi="Times New Roman" w:cs="Times New Roman"/>
          <w:kern w:val="0"/>
          <w14:ligatures w14:val="none"/>
        </w:rPr>
        <w:t>, the California Court of Appeal held that a video game character inspired by a pop singer was transformative because it conveyed its own expressive content rather than merely appropriating the singer’s likeness.</w:t>
      </w:r>
      <w:r>
        <w:rPr>
          <w:rStyle w:val="FootnoteReference"/>
        </w:rPr>
        <w:footnoteReference w:id="99"/>
      </w:r>
      <w:r>
        <w:rPr>
          <w:rFonts w:ascii="Times New Roman" w:eastAsia="Times New Roman" w:hAnsi="Times New Roman" w:cs="Times New Roman"/>
          <w:kern w:val="0"/>
          <w14:ligatures w14:val="none"/>
        </w:rPr>
        <w:t xml:space="preserve"> The character “</w:t>
      </w:r>
      <w:proofErr w:type="spellStart"/>
      <w:r>
        <w:rPr>
          <w:rFonts w:ascii="Times New Roman" w:eastAsia="Times New Roman" w:hAnsi="Times New Roman" w:cs="Times New Roman"/>
          <w:kern w:val="0"/>
          <w14:ligatures w14:val="none"/>
        </w:rPr>
        <w:t>Ulala</w:t>
      </w:r>
      <w:proofErr w:type="spellEnd"/>
      <w:r>
        <w:rPr>
          <w:rFonts w:ascii="Times New Roman" w:eastAsia="Times New Roman" w:hAnsi="Times New Roman" w:cs="Times New Roman"/>
          <w:kern w:val="0"/>
          <w14:ligatures w14:val="none"/>
        </w:rPr>
        <w:t xml:space="preserve">,” though clearly reminiscent of the plaintiff’s persona, existed within a distinct narrative universe with original audiovisual elements. The court emphasized that the First Amendment protects works that use </w:t>
      </w:r>
      <w:r>
        <w:rPr>
          <w:rFonts w:ascii="Times New Roman" w:eastAsia="Times New Roman" w:hAnsi="Times New Roman" w:cs="Times New Roman"/>
          <w:kern w:val="0"/>
          <w14:ligatures w14:val="none"/>
        </w:rPr>
        <w:lastRenderedPageBreak/>
        <w:t>identity as “raw material” for creative expression, even when the resemblance is intentional and commercially exploited.</w:t>
      </w:r>
      <w:r>
        <w:rPr>
          <w:rStyle w:val="FootnoteReference"/>
        </w:rPr>
        <w:footnoteReference w:id="100"/>
      </w:r>
    </w:p>
    <w:p w14:paraId="37433B52" w14:textId="51282DDD"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tension between inspiration and appropriation echoes older disputes over musical and stylistic borrowing. Together, these cases mark the spectrum between impermissible imitation and transformative depiction</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the same line that modern AI must now negotiate.</w:t>
      </w:r>
      <w:r>
        <w:rPr>
          <w:rStyle w:val="FootnoteReference"/>
        </w:rPr>
        <w:footnoteReference w:id="101"/>
      </w:r>
    </w:p>
    <w:p w14:paraId="294792A1"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Five years after </w:t>
      </w:r>
      <w:r>
        <w:rPr>
          <w:rFonts w:ascii="Times New Roman" w:eastAsia="Times New Roman" w:hAnsi="Times New Roman" w:cs="Times New Roman"/>
          <w:i/>
          <w:kern w:val="0"/>
          <w14:ligatures w14:val="none"/>
        </w:rPr>
        <w:t>Kirby</w:t>
      </w:r>
      <w:r>
        <w:rPr>
          <w:rFonts w:ascii="Times New Roman" w:eastAsia="Times New Roman" w:hAnsi="Times New Roman" w:cs="Times New Roman"/>
          <w:kern w:val="0"/>
          <w14:ligatures w14:val="none"/>
        </w:rPr>
        <w:t xml:space="preserve">, the California Court of Appeal confronted an entirely different problem in </w:t>
      </w:r>
      <w:r>
        <w:rPr>
          <w:rFonts w:ascii="Times New Roman" w:eastAsia="Times New Roman" w:hAnsi="Times New Roman" w:cs="Times New Roman"/>
          <w:i/>
          <w:iCs/>
          <w:kern w:val="0"/>
          <w14:ligatures w14:val="none"/>
        </w:rPr>
        <w:t>No Doubt v. Activision Publishing, Inc.</w:t>
      </w:r>
      <w:r>
        <w:rPr>
          <w:rStyle w:val="FootnoteReference"/>
        </w:rPr>
        <w:footnoteReference w:id="102"/>
      </w:r>
      <w:r>
        <w:rPr>
          <w:rFonts w:ascii="Times New Roman" w:eastAsia="Times New Roman" w:hAnsi="Times New Roman" w:cs="Times New Roman"/>
          <w:kern w:val="0"/>
          <w14:ligatures w14:val="none"/>
        </w:rPr>
        <w:t xml:space="preserve"> There, the band No Doubt had licensed its likenesses for use in the video game </w:t>
      </w:r>
      <w:r>
        <w:rPr>
          <w:rFonts w:ascii="Times New Roman" w:eastAsia="Times New Roman" w:hAnsi="Times New Roman" w:cs="Times New Roman"/>
          <w:i/>
          <w:iCs/>
          <w:kern w:val="0"/>
          <w14:ligatures w14:val="none"/>
        </w:rPr>
        <w:t>Band Hero</w:t>
      </w:r>
      <w:r>
        <w:rPr>
          <w:rFonts w:ascii="Times New Roman" w:eastAsia="Times New Roman" w:hAnsi="Times New Roman" w:cs="Times New Roman"/>
          <w:kern w:val="0"/>
          <w14:ligatures w14:val="none"/>
        </w:rPr>
        <w:t xml:space="preserve">, but the game’s software allowed players to make the avatars perform songs the band had never recorded, in styles they would never have chosen. Unlike in </w:t>
      </w:r>
      <w:r>
        <w:rPr>
          <w:rFonts w:ascii="Times New Roman" w:eastAsia="Times New Roman" w:hAnsi="Times New Roman" w:cs="Times New Roman"/>
          <w:i/>
          <w:iCs/>
          <w:kern w:val="0"/>
          <w14:ligatures w14:val="none"/>
        </w:rPr>
        <w:t>Kirby,</w:t>
      </w:r>
      <w:r>
        <w:rPr>
          <w:rFonts w:ascii="Times New Roman" w:eastAsia="Times New Roman" w:hAnsi="Times New Roman" w:cs="Times New Roman"/>
          <w:kern w:val="0"/>
          <w14:ligatures w14:val="none"/>
        </w:rPr>
        <w:t xml:space="preserve"> the court found that the avatars were </w:t>
      </w:r>
      <w:r>
        <w:rPr>
          <w:rFonts w:ascii="Times New Roman" w:eastAsia="Times New Roman" w:hAnsi="Times New Roman" w:cs="Times New Roman"/>
          <w:i/>
          <w:kern w:val="0"/>
          <w14:ligatures w14:val="none"/>
        </w:rPr>
        <w:t>not</w:t>
      </w:r>
      <w:r>
        <w:rPr>
          <w:rFonts w:ascii="Times New Roman" w:eastAsia="Times New Roman" w:hAnsi="Times New Roman" w:cs="Times New Roman"/>
          <w:kern w:val="0"/>
          <w14:ligatures w14:val="none"/>
        </w:rPr>
        <w:t xml:space="preserve"> transformative: they were literal digital reproductions of the band’s members, performing under their own names, with only minimal creative alteration. Because the avatars “merely replicated” the group’s identities without adding new expression or meaning, they were not transformative and their use fell outside the protection of the First Amendment.</w:t>
      </w:r>
      <w:r>
        <w:rPr>
          <w:rStyle w:val="FootnoteReference"/>
        </w:rPr>
        <w:footnoteReference w:id="103"/>
      </w:r>
    </w:p>
    <w:p w14:paraId="39D0FC29" w14:textId="45CB8298" w:rsidR="00A75C8E" w:rsidRDefault="004C556B" w:rsidP="008372DB">
      <w:pPr>
        <w:spacing w:beforeAutospacing="1" w:afterAutospacing="1" w:line="240" w:lineRule="auto"/>
        <w:jc w:val="both"/>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14:ligatures w14:val="none"/>
        </w:rPr>
        <w:t xml:space="preserve">Together, </w:t>
      </w:r>
      <w:r>
        <w:rPr>
          <w:rFonts w:ascii="Times New Roman" w:eastAsia="Times New Roman" w:hAnsi="Times New Roman" w:cs="Times New Roman"/>
          <w:i/>
          <w:iCs/>
          <w:kern w:val="0"/>
          <w14:ligatures w14:val="none"/>
        </w:rPr>
        <w:t>Kirby</w:t>
      </w:r>
      <w:r>
        <w:rPr>
          <w:rFonts w:ascii="Times New Roman" w:eastAsia="Times New Roman" w:hAnsi="Times New Roman" w:cs="Times New Roman"/>
          <w:kern w:val="0"/>
          <w14:ligatures w14:val="none"/>
        </w:rPr>
        <w:t xml:space="preserve"> and </w:t>
      </w:r>
      <w:r>
        <w:rPr>
          <w:rFonts w:ascii="Times New Roman" w:eastAsia="Times New Roman" w:hAnsi="Times New Roman" w:cs="Times New Roman"/>
          <w:i/>
          <w:iCs/>
          <w:kern w:val="0"/>
          <w14:ligatures w14:val="none"/>
        </w:rPr>
        <w:t>No Doubt</w:t>
      </w:r>
      <w:r>
        <w:rPr>
          <w:rFonts w:ascii="Times New Roman" w:eastAsia="Times New Roman" w:hAnsi="Times New Roman" w:cs="Times New Roman"/>
          <w:kern w:val="0"/>
          <w14:ligatures w14:val="none"/>
        </w:rPr>
        <w:t xml:space="preserve"> illustrate the fragile line between expression and identity in the era of digital simulation. When creative works can reproduce human likeness with photographic or vocal precision, the conceptual distance between authorship and embodiment narrows. The next sections examine how that distance continues to collapse in an age where technology no longer merely imitates </w:t>
      </w:r>
      <w:proofErr w:type="gramStart"/>
      <w:r>
        <w:rPr>
          <w:rFonts w:ascii="Times New Roman" w:eastAsia="Times New Roman" w:hAnsi="Times New Roman" w:cs="Times New Roman"/>
          <w:kern w:val="0"/>
          <w14:ligatures w14:val="none"/>
        </w:rPr>
        <w:t>the human</w:t>
      </w:r>
      <w:proofErr w:type="gramEnd"/>
      <w:r>
        <w:rPr>
          <w:rFonts w:ascii="Times New Roman" w:eastAsia="Times New Roman" w:hAnsi="Times New Roman" w:cs="Times New Roman"/>
          <w:kern w:val="0"/>
          <w14:ligatures w14:val="none"/>
        </w:rPr>
        <w:t xml:space="preserve"> form, but can replicate</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and even extend</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it.</w:t>
      </w:r>
    </w:p>
    <w:p w14:paraId="21668A49"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36" w:name="_Toc220693058"/>
      <w:r>
        <w:rPr>
          <w:b/>
        </w:rPr>
        <w:t>7.2 From Digital Simulation to “Band Hero on Steroids”</w:t>
      </w:r>
      <w:bookmarkEnd w:id="36"/>
    </w:p>
    <w:p w14:paraId="75D3E0BE" w14:textId="2B5DDB6F"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Long before the term </w:t>
      </w:r>
      <w:r>
        <w:rPr>
          <w:rFonts w:ascii="Times New Roman" w:eastAsia="Times New Roman" w:hAnsi="Times New Roman" w:cs="Times New Roman"/>
          <w:i/>
          <w:iCs/>
          <w:kern w:val="0"/>
          <w14:ligatures w14:val="none"/>
        </w:rPr>
        <w:t>generative AI</w:t>
      </w:r>
      <w:r>
        <w:rPr>
          <w:rFonts w:ascii="Times New Roman" w:eastAsia="Times New Roman" w:hAnsi="Times New Roman" w:cs="Times New Roman"/>
          <w:kern w:val="0"/>
          <w14:ligatures w14:val="none"/>
        </w:rPr>
        <w:t xml:space="preserve"> entered the lexicon, the tension between expression and identity had already begun to surface in the world of interactive entertainment. In my earlier analysis of </w:t>
      </w:r>
      <w:r>
        <w:rPr>
          <w:rFonts w:ascii="Times New Roman" w:eastAsia="Times New Roman" w:hAnsi="Times New Roman" w:cs="Times New Roman"/>
          <w:i/>
          <w:iCs/>
          <w:kern w:val="0"/>
          <w14:ligatures w14:val="none"/>
        </w:rPr>
        <w:t>No Doubt v. Activision</w:t>
      </w:r>
      <w:r>
        <w:rPr>
          <w:rFonts w:ascii="Times New Roman" w:eastAsia="Times New Roman" w:hAnsi="Times New Roman" w:cs="Times New Roman"/>
          <w:kern w:val="0"/>
          <w14:ligatures w14:val="none"/>
        </w:rPr>
        <w:t>, I described what seemed then a distant possibility</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 future in which technology could not merely reproduce a performance of a specific song by a specific </w:t>
      </w:r>
      <w:proofErr w:type="gramStart"/>
      <w:r>
        <w:rPr>
          <w:rFonts w:ascii="Times New Roman" w:eastAsia="Times New Roman" w:hAnsi="Times New Roman" w:cs="Times New Roman"/>
          <w:kern w:val="0"/>
          <w14:ligatures w14:val="none"/>
        </w:rPr>
        <w:t>performer, but</w:t>
      </w:r>
      <w:proofErr w:type="gramEnd"/>
      <w:r>
        <w:rPr>
          <w:rFonts w:ascii="Times New Roman" w:eastAsia="Times New Roman" w:hAnsi="Times New Roman" w:cs="Times New Roman"/>
          <w:kern w:val="0"/>
          <w14:ligatures w14:val="none"/>
        </w:rPr>
        <w:t xml:space="preserve"> could generate any number of songs written and performed in the style of any performer. That idea became the “Band Hero on Steroids” hypothetical:</w:t>
      </w:r>
    </w:p>
    <w:p w14:paraId="5C61CB23" w14:textId="77777777" w:rsidR="00A75C8E" w:rsidRDefault="004C556B" w:rsidP="008372DB">
      <w:pPr>
        <w:spacing w:beforeAutospacing="1" w:afterAutospacing="1"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iCs/>
          <w:kern w:val="0"/>
          <w14:ligatures w14:val="none"/>
        </w:rPr>
        <w:t xml:space="preserve">A video game company creates a music simulation game that contains the top one hundred bands of all time, along with each band’s fifty most popular songs. Avatars for each band look exactly like the real-life members. Each of the </w:t>
      </w:r>
      <w:proofErr w:type="gramStart"/>
      <w:r>
        <w:rPr>
          <w:rFonts w:ascii="Times New Roman" w:eastAsia="Times New Roman" w:hAnsi="Times New Roman" w:cs="Times New Roman"/>
          <w:iCs/>
          <w:kern w:val="0"/>
          <w14:ligatures w14:val="none"/>
        </w:rPr>
        <w:t>hundred</w:t>
      </w:r>
      <w:proofErr w:type="gramEnd"/>
      <w:r>
        <w:rPr>
          <w:rFonts w:ascii="Times New Roman" w:eastAsia="Times New Roman" w:hAnsi="Times New Roman" w:cs="Times New Roman"/>
          <w:iCs/>
          <w:kern w:val="0"/>
          <w14:ligatures w14:val="none"/>
        </w:rPr>
        <w:t xml:space="preserve"> bands can perform every song </w:t>
      </w:r>
      <w:r>
        <w:rPr>
          <w:rFonts w:ascii="Times New Roman" w:eastAsia="Times New Roman" w:hAnsi="Times New Roman" w:cs="Times New Roman"/>
          <w:iCs/>
          <w:kern w:val="0"/>
          <w14:ligatures w14:val="none"/>
        </w:rPr>
        <w:lastRenderedPageBreak/>
        <w:t xml:space="preserve">included in the game in a style unique to that band. Furthermore, there is a “genius” mode that permits a user to enter anywhere from five to one hundred words and/or musical </w:t>
      </w:r>
      <w:proofErr w:type="gramStart"/>
      <w:r>
        <w:rPr>
          <w:rFonts w:ascii="Times New Roman" w:eastAsia="Times New Roman" w:hAnsi="Times New Roman" w:cs="Times New Roman"/>
          <w:iCs/>
          <w:kern w:val="0"/>
          <w14:ligatures w14:val="none"/>
        </w:rPr>
        <w:t>notes</w:t>
      </w:r>
      <w:proofErr w:type="gramEnd"/>
      <w:r>
        <w:rPr>
          <w:rFonts w:ascii="Times New Roman" w:eastAsia="Times New Roman" w:hAnsi="Times New Roman" w:cs="Times New Roman"/>
          <w:iCs/>
          <w:kern w:val="0"/>
          <w14:ligatures w14:val="none"/>
        </w:rPr>
        <w:t xml:space="preserve"> and the game will generate a song from those words and/or notes in the style and sound of any specified band. The performances can be saved and transferred to other forms of media.</w:t>
      </w:r>
      <w:r>
        <w:rPr>
          <w:rStyle w:val="FootnoteReference"/>
        </w:rPr>
        <w:footnoteReference w:id="104"/>
      </w:r>
    </w:p>
    <w:p w14:paraId="2EBAF022"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first written, the scenario was meant to test the boundaries of transformation and authorship in a digital environment. Yet the questions it posed have become central to current debates about AI-generated content:</w:t>
      </w:r>
    </w:p>
    <w:p w14:paraId="549B09D7" w14:textId="77777777" w:rsidR="00A75C8E" w:rsidRDefault="004C556B" w:rsidP="008372DB">
      <w:pPr>
        <w:spacing w:beforeAutospacing="1" w:afterAutospacing="1"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iCs/>
          <w:kern w:val="0"/>
          <w14:ligatures w14:val="none"/>
        </w:rPr>
        <w:t>What happens when technology permits a user to use avatars to not only visually perform the song of another artist, but to use the distinctive voice or sound or style of that group to perform the other artist’s work? . . . What if users could choose any of the one hundred bands included in … ‘Band Hero on Steroids’ to perform any of the 5,000 songs included in the game? What if a user could input a few (or many) words and/or melodies and request a performance in the voice or style of The Beatles or The Beach Boys or Cage the Elephant? Technology will likely bring this to a gaming console or computer in the near future. . . What will be—and who will own—the copyright interests (if any) in the works and performances created by the game?</w:t>
      </w:r>
      <w:r>
        <w:rPr>
          <w:rStyle w:val="FootnoteReference"/>
        </w:rPr>
        <w:footnoteReference w:id="105"/>
      </w:r>
    </w:p>
    <w:p w14:paraId="5AD54D81" w14:textId="4AB7FF79"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 “near future” has arrived. Generative AI systems can now synthesize music, vocals, and visual likenesses indistinguishable from their human counterparts.</w:t>
      </w:r>
      <w:r>
        <w:rPr>
          <w:rStyle w:val="FootnoteReference"/>
        </w:rPr>
        <w:footnoteReference w:id="106"/>
      </w:r>
      <w:r>
        <w:rPr>
          <w:rFonts w:ascii="Times New Roman" w:eastAsia="Times New Roman" w:hAnsi="Times New Roman" w:cs="Times New Roman"/>
          <w:kern w:val="0"/>
          <w14:ligatures w14:val="none"/>
        </w:rPr>
        <w:t xml:space="preserve"> They can imitate a performer’s appearance, voice, tone, phrasing, and style. In short, “Band Hero on Steroids” is no longer a hypothetical</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it is an operating model of contemporary machine-learning systems trained on vast datasets of human creativity.</w:t>
      </w:r>
    </w:p>
    <w:p w14:paraId="440B23E2" w14:textId="5400CBE8"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implications extend beyond the right of publicity. If a model can replicate the “style” of The Beatles or the “vibe” of Marvin Gaye, does that constitute a derivative work, a transformative work, or something entirely new? When a person types a few words that guide the model’s output, who</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if anyone</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is the author? And if the system can endlessly generate “new” performances, does the resulting work belong to anyone at all?</w:t>
      </w:r>
    </w:p>
    <w:p w14:paraId="7A6C5CA8" w14:textId="0D50146D"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These are not speculative puzzles anymore, but rather the next logical step in the trajectory that began with </w:t>
      </w:r>
      <w:r>
        <w:rPr>
          <w:rFonts w:ascii="Times New Roman" w:eastAsia="Times New Roman" w:hAnsi="Times New Roman" w:cs="Times New Roman"/>
          <w:i/>
          <w:iCs/>
          <w:kern w:val="0"/>
          <w14:ligatures w14:val="none"/>
        </w:rPr>
        <w:t>No Doubt</w:t>
      </w:r>
      <w:r>
        <w:rPr>
          <w:rFonts w:ascii="Times New Roman" w:eastAsia="Times New Roman" w:hAnsi="Times New Roman" w:cs="Times New Roman"/>
          <w:kern w:val="0"/>
          <w14:ligatures w14:val="none"/>
        </w:rPr>
        <w:t xml:space="preserve"> and the early digital-simulation cases. The “Band Hero on Steroids” example shows that the law’s existing building blocks</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authorship, fixation, originality, and fair use</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must now be stretched to operate in a world where identity itself has become replicable data. The following sections explore how courts and commentators have attempted to reconcile those </w:t>
      </w:r>
      <w:r>
        <w:rPr>
          <w:rFonts w:ascii="Times New Roman" w:eastAsia="Times New Roman" w:hAnsi="Times New Roman" w:cs="Times New Roman"/>
          <w:kern w:val="0"/>
          <w14:ligatures w14:val="none"/>
        </w:rPr>
        <w:lastRenderedPageBreak/>
        <w:t>doctrines with the expanding reach of publicity and personality rights in the age of artificial intelligence.</w:t>
      </w:r>
    </w:p>
    <w:p w14:paraId="2A2B84C8"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37" w:name="_Toc220693059"/>
      <w:r>
        <w:rPr>
          <w:b/>
        </w:rPr>
        <w:t>7.3 The Right of Publicity and AI</w:t>
      </w:r>
      <w:bookmarkEnd w:id="37"/>
    </w:p>
    <w:p w14:paraId="6291A7C6"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“Band Hero on Steroids” scenario exposes the doctrinal complexity of the right of publicity, which varies widely across the states, creating a patchwork of rules governing likeness, voice, and digital identity, including newly enacted protections for “digital replicas” and AI-based voice cloning.</w:t>
      </w:r>
      <w:r>
        <w:rPr>
          <w:rStyle w:val="FootnoteReference"/>
        </w:rPr>
        <w:footnoteReference w:id="107"/>
      </w:r>
      <w:r>
        <w:rPr>
          <w:rFonts w:ascii="Times New Roman" w:eastAsia="Times New Roman" w:hAnsi="Times New Roman" w:cs="Times New Roman"/>
          <w:kern w:val="0"/>
          <w14:ligatures w14:val="none"/>
        </w:rPr>
        <w:t xml:space="preserve"> What began as a narrow claim to control one’s name and likeness has evolved into a sprawling body of state law that protects the economic value of personal identity. Its roots lie in </w:t>
      </w:r>
      <w:r>
        <w:rPr>
          <w:rFonts w:ascii="Times New Roman" w:eastAsia="Times New Roman" w:hAnsi="Times New Roman" w:cs="Times New Roman"/>
          <w:i/>
          <w:iCs/>
          <w:kern w:val="0"/>
          <w14:ligatures w14:val="none"/>
        </w:rPr>
        <w:t>Zacchini v. Scripps-Howard Broadcasting Co.</w:t>
      </w:r>
      <w:r>
        <w:rPr>
          <w:rFonts w:ascii="Times New Roman" w:eastAsia="Times New Roman" w:hAnsi="Times New Roman" w:cs="Times New Roman"/>
          <w:kern w:val="0"/>
          <w14:ligatures w14:val="none"/>
        </w:rPr>
        <w:t>, where the Supreme Court held that broadcasting an entire human-cannonball act without permission violated the performer’s right to the commercial value of his performance.</w:t>
      </w:r>
      <w:r>
        <w:rPr>
          <w:rStyle w:val="FootnoteReference"/>
        </w:rPr>
        <w:footnoteReference w:id="108"/>
      </w:r>
      <w:r>
        <w:rPr>
          <w:rFonts w:ascii="Times New Roman" w:eastAsia="Times New Roman" w:hAnsi="Times New Roman" w:cs="Times New Roman"/>
          <w:kern w:val="0"/>
          <w14:ligatures w14:val="none"/>
        </w:rPr>
        <w:t xml:space="preserve"> The Court analogized the right of publicity to copyright and patent, describing it as an incentive to create by allowing individuals to reap the fruits of their labor.</w:t>
      </w:r>
      <w:r>
        <w:rPr>
          <w:rStyle w:val="FootnoteReference"/>
        </w:rPr>
        <w:footnoteReference w:id="109"/>
      </w:r>
    </w:p>
    <w:p w14:paraId="08DE3CD6"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Modern courts have sought to balance that proprietary interest with expressive freedom. The California Supreme Court, in </w:t>
      </w:r>
      <w:r>
        <w:rPr>
          <w:rFonts w:ascii="Times New Roman" w:eastAsia="Times New Roman" w:hAnsi="Times New Roman" w:cs="Times New Roman"/>
          <w:i/>
          <w:iCs/>
          <w:kern w:val="0"/>
          <w14:ligatures w14:val="none"/>
        </w:rPr>
        <w:t>Comedy III Productions v. Saderup,</w:t>
      </w:r>
      <w:r>
        <w:rPr>
          <w:rFonts w:ascii="Times New Roman" w:eastAsia="Times New Roman" w:hAnsi="Times New Roman" w:cs="Times New Roman"/>
          <w:kern w:val="0"/>
          <w14:ligatures w14:val="none"/>
        </w:rPr>
        <w:t xml:space="preserve"> articulated the now-famous “transformative use” test, holding that a charcoal drawing of the Three Stooges on T-shirts infringed upon the right of publicity because it merely replicated their likenesses without adding new expression.</w:t>
      </w:r>
      <w:r>
        <w:rPr>
          <w:rStyle w:val="FootnoteReference"/>
        </w:rPr>
        <w:footnoteReference w:id="110"/>
      </w:r>
      <w:r>
        <w:rPr>
          <w:rFonts w:ascii="Times New Roman" w:eastAsia="Times New Roman" w:hAnsi="Times New Roman" w:cs="Times New Roman"/>
          <w:kern w:val="0"/>
          <w14:ligatures w14:val="none"/>
        </w:rPr>
        <w:t xml:space="preserve"> Two years later, </w:t>
      </w:r>
      <w:r>
        <w:rPr>
          <w:rFonts w:ascii="Times New Roman" w:eastAsia="Times New Roman" w:hAnsi="Times New Roman" w:cs="Times New Roman"/>
          <w:i/>
          <w:iCs/>
          <w:kern w:val="0"/>
          <w14:ligatures w14:val="none"/>
        </w:rPr>
        <w:t>Winter v. DC Comics</w:t>
      </w:r>
      <w:r>
        <w:rPr>
          <w:rFonts w:ascii="Times New Roman" w:eastAsia="Times New Roman" w:hAnsi="Times New Roman" w:cs="Times New Roman"/>
          <w:kern w:val="0"/>
          <w14:ligatures w14:val="none"/>
        </w:rPr>
        <w:t xml:space="preserve"> reached the opposite result, finding that grotesque comic-book caricatures of musicians Johnny and Edgar Winter were transformative because they conveyed new expressive content.</w:t>
      </w:r>
      <w:r>
        <w:rPr>
          <w:rStyle w:val="FootnoteReference"/>
        </w:rPr>
        <w:footnoteReference w:id="111"/>
      </w:r>
      <w:r>
        <w:rPr>
          <w:rFonts w:ascii="Times New Roman" w:eastAsia="Times New Roman" w:hAnsi="Times New Roman" w:cs="Times New Roman"/>
          <w:kern w:val="0"/>
          <w14:ligatures w14:val="none"/>
        </w:rPr>
        <w:t xml:space="preserve"> The California Court of Appeal applied the same framework in </w:t>
      </w:r>
      <w:r>
        <w:rPr>
          <w:rFonts w:ascii="Times New Roman" w:eastAsia="Times New Roman" w:hAnsi="Times New Roman" w:cs="Times New Roman"/>
          <w:i/>
          <w:iCs/>
          <w:kern w:val="0"/>
          <w14:ligatures w14:val="none"/>
        </w:rPr>
        <w:t>No Doubt v. Activision</w:t>
      </w:r>
      <w:r>
        <w:rPr>
          <w:rFonts w:ascii="Times New Roman" w:eastAsia="Times New Roman" w:hAnsi="Times New Roman" w:cs="Times New Roman"/>
          <w:kern w:val="0"/>
          <w14:ligatures w14:val="none"/>
        </w:rPr>
        <w:t>, holding that realistic avatars of band members performing songs under their own names were not transformative.</w:t>
      </w:r>
      <w:r>
        <w:rPr>
          <w:rStyle w:val="FootnoteReference"/>
        </w:rPr>
        <w:footnoteReference w:id="112"/>
      </w:r>
    </w:p>
    <w:p w14:paraId="50D0926B"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Because the right of publicity remains a matter of state law, significant variation persists.</w:t>
      </w:r>
      <w:r>
        <w:rPr>
          <w:rStyle w:val="FootnoteReference"/>
        </w:rPr>
        <w:footnoteReference w:id="113"/>
      </w:r>
      <w:r>
        <w:rPr>
          <w:rFonts w:ascii="Times New Roman" w:eastAsia="Times New Roman" w:hAnsi="Times New Roman" w:cs="Times New Roman"/>
          <w:kern w:val="0"/>
          <w14:ligatures w14:val="none"/>
        </w:rPr>
        <w:t xml:space="preserve"> California recognizes both statutory and common-law versions.</w:t>
      </w:r>
      <w:r>
        <w:rPr>
          <w:rStyle w:val="FootnoteReference"/>
        </w:rPr>
        <w:footnoteReference w:id="114"/>
      </w:r>
      <w:r>
        <w:rPr>
          <w:rFonts w:ascii="Times New Roman" w:eastAsia="Times New Roman" w:hAnsi="Times New Roman" w:cs="Times New Roman"/>
          <w:kern w:val="0"/>
          <w14:ligatures w14:val="none"/>
        </w:rPr>
        <w:t xml:space="preserve"> New York provides both a privacy-based statute</w:t>
      </w:r>
      <w:r>
        <w:rPr>
          <w:rStyle w:val="FootnoteReference"/>
        </w:rPr>
        <w:footnoteReference w:id="115"/>
      </w:r>
      <w:r>
        <w:rPr>
          <w:rFonts w:ascii="Times New Roman" w:eastAsia="Times New Roman" w:hAnsi="Times New Roman" w:cs="Times New Roman"/>
          <w:kern w:val="0"/>
          <w14:ligatures w14:val="none"/>
        </w:rPr>
        <w:t xml:space="preserve"> and a distinct postmortem right for “deceased performers” and “deceased personalities.” </w:t>
      </w:r>
      <w:r>
        <w:rPr>
          <w:rStyle w:val="FootnoteReference"/>
        </w:rPr>
        <w:footnoteReference w:id="116"/>
      </w:r>
      <w:r>
        <w:rPr>
          <w:rFonts w:ascii="Times New Roman" w:eastAsia="Times New Roman" w:hAnsi="Times New Roman" w:cs="Times New Roman"/>
          <w:kern w:val="0"/>
          <w14:ligatures w14:val="none"/>
        </w:rPr>
        <w:t>Indiana extends protection for up to 100 years after death.</w:t>
      </w:r>
      <w:r>
        <w:rPr>
          <w:rStyle w:val="FootnoteReference"/>
        </w:rPr>
        <w:footnoteReference w:id="117"/>
      </w:r>
      <w:r>
        <w:rPr>
          <w:rFonts w:ascii="Times New Roman" w:eastAsia="Times New Roman" w:hAnsi="Times New Roman" w:cs="Times New Roman"/>
          <w:kern w:val="0"/>
          <w14:ligatures w14:val="none"/>
        </w:rPr>
        <w:t xml:space="preserve"> Tennessee’s ELVIS Act expressly protects voice and other digital likeness uses.</w:t>
      </w:r>
      <w:r>
        <w:rPr>
          <w:rStyle w:val="FootnoteReference"/>
        </w:rPr>
        <w:footnoteReference w:id="118"/>
      </w:r>
      <w:r>
        <w:rPr>
          <w:rFonts w:ascii="Times New Roman" w:eastAsia="Times New Roman" w:hAnsi="Times New Roman" w:cs="Times New Roman"/>
          <w:kern w:val="0"/>
          <w14:ligatures w14:val="none"/>
        </w:rPr>
        <w:t xml:space="preserve"> The result is a hodgepodge system in which the same </w:t>
      </w:r>
      <w:r>
        <w:rPr>
          <w:rFonts w:ascii="Times New Roman" w:eastAsia="Times New Roman" w:hAnsi="Times New Roman" w:cs="Times New Roman"/>
          <w:i/>
          <w:kern w:val="0"/>
          <w14:ligatures w14:val="none"/>
        </w:rPr>
        <w:t>expressive</w:t>
      </w:r>
      <w:r>
        <w:rPr>
          <w:rFonts w:ascii="Times New Roman" w:eastAsia="Times New Roman" w:hAnsi="Times New Roman" w:cs="Times New Roman"/>
          <w:kern w:val="0"/>
          <w14:ligatures w14:val="none"/>
        </w:rPr>
        <w:t xml:space="preserve"> use may be protected in one state and actionable in another.</w:t>
      </w:r>
    </w:p>
    <w:p w14:paraId="6C8DE0F2" w14:textId="77777777" w:rsidR="00A75C8E" w:rsidRDefault="004C556B" w:rsidP="008372DB">
      <w:pPr>
        <w:pStyle w:val="NormalWeb"/>
        <w:spacing w:before="280" w:after="280"/>
        <w:jc w:val="both"/>
      </w:pPr>
      <w:r>
        <w:t>As technology blurs the line between human and synthetic identity, the tension between expressive freedom and personal control over likeness will only intensify. The emergence of generative AI systems capable of cloning voices, faces, and creative “styles” transforms what were once theoretical concerns into urgent legal questions about digital identity and authorship.</w:t>
      </w:r>
    </w:p>
    <w:p w14:paraId="19FB8819" w14:textId="450B2740"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convergence of copyright and the right of publicity exposes an enduring dilemma at the heart of creative law: when does the depiction of a person become an act of authorship rather than appropriation, or vice versa?</w:t>
      </w:r>
      <w:r>
        <w:rPr>
          <w:rStyle w:val="FootnoteReference"/>
        </w:rPr>
        <w:footnoteReference w:id="119"/>
      </w:r>
      <w:r>
        <w:rPr>
          <w:rFonts w:ascii="Times New Roman" w:eastAsia="Times New Roman" w:hAnsi="Times New Roman" w:cs="Times New Roman"/>
          <w:kern w:val="0"/>
          <w14:ligatures w14:val="none"/>
        </w:rPr>
        <w:t xml:space="preserve"> In an era when technology can replicate faces, voices, and gestures with uncanny precision, that question is no longer hypothetical. Every new synthetic likeness</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every “digital double” or “deepfake” or AI-generated voice</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tests the boundaries of expression and identity.</w:t>
      </w:r>
      <w:r>
        <w:rPr>
          <w:rStyle w:val="FootnoteReference"/>
        </w:rPr>
        <w:footnoteReference w:id="120"/>
      </w:r>
    </w:p>
    <w:p w14:paraId="61A0D503"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38" w:name="_Toc220693060"/>
      <w:r>
        <w:rPr>
          <w:b/>
        </w:rPr>
        <w:t xml:space="preserve">7.4 Subjectivity and the </w:t>
      </w:r>
      <w:r>
        <w:rPr>
          <w:b/>
          <w:i/>
        </w:rPr>
        <w:t>Warhol</w:t>
      </w:r>
      <w:r>
        <w:rPr>
          <w:b/>
        </w:rPr>
        <w:t xml:space="preserve"> Paradox</w:t>
      </w:r>
      <w:bookmarkEnd w:id="38"/>
    </w:p>
    <w:p w14:paraId="7218BB30"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The California cases demonstrate how fragile that boundary has become. </w:t>
      </w:r>
      <w:r>
        <w:rPr>
          <w:rFonts w:ascii="Times New Roman" w:eastAsia="Times New Roman" w:hAnsi="Times New Roman" w:cs="Times New Roman"/>
          <w:i/>
          <w:iCs/>
          <w:kern w:val="0"/>
          <w14:ligatures w14:val="none"/>
        </w:rPr>
        <w:t>Comedy III</w:t>
      </w:r>
      <w:r>
        <w:rPr>
          <w:rFonts w:ascii="Times New Roman" w:eastAsia="Times New Roman" w:hAnsi="Times New Roman" w:cs="Times New Roman"/>
          <w:kern w:val="0"/>
          <w14:ligatures w14:val="none"/>
        </w:rPr>
        <w:t xml:space="preserve"> treated artistic reproduction of celebrity images as unprotected copying;</w:t>
      </w:r>
      <w:r>
        <w:rPr>
          <w:rStyle w:val="FootnoteReference"/>
        </w:rPr>
        <w:footnoteReference w:id="121"/>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Winter</w:t>
      </w:r>
      <w:r>
        <w:rPr>
          <w:rFonts w:ascii="Times New Roman" w:eastAsia="Times New Roman" w:hAnsi="Times New Roman" w:cs="Times New Roman"/>
          <w:kern w:val="0"/>
          <w14:ligatures w14:val="none"/>
        </w:rPr>
        <w:t xml:space="preserve"> treated caricature as creative commentary.</w:t>
      </w:r>
      <w:r>
        <w:rPr>
          <w:rStyle w:val="FootnoteReference"/>
        </w:rPr>
        <w:footnoteReference w:id="122"/>
      </w:r>
      <w:r>
        <w:rPr>
          <w:rFonts w:ascii="Times New Roman" w:eastAsia="Times New Roman" w:hAnsi="Times New Roman" w:cs="Times New Roman"/>
          <w:kern w:val="0"/>
          <w14:ligatures w14:val="none"/>
        </w:rPr>
        <w:t xml:space="preserve"> The difference turned not on technology or even market effect, but on whether a court perceived sufficient transformation. As the opinion in </w:t>
      </w:r>
      <w:r>
        <w:rPr>
          <w:rFonts w:ascii="Times New Roman" w:eastAsia="Times New Roman" w:hAnsi="Times New Roman" w:cs="Times New Roman"/>
          <w:i/>
          <w:iCs/>
          <w:kern w:val="0"/>
          <w14:ligatures w14:val="none"/>
        </w:rPr>
        <w:t>Comedy III</w:t>
      </w:r>
      <w:r>
        <w:rPr>
          <w:rFonts w:ascii="Times New Roman" w:eastAsia="Times New Roman" w:hAnsi="Times New Roman" w:cs="Times New Roman"/>
          <w:kern w:val="0"/>
          <w14:ligatures w14:val="none"/>
        </w:rPr>
        <w:t xml:space="preserve"> put it, the artist must add “something new, with a further purpose or different character, altering the first with new expression, meaning, or message.”</w:t>
      </w:r>
      <w:r>
        <w:rPr>
          <w:rStyle w:val="FootnoteReference"/>
        </w:rPr>
        <w:footnoteReference w:id="123"/>
      </w:r>
      <w:r>
        <w:rPr>
          <w:rFonts w:ascii="Times New Roman" w:eastAsia="Times New Roman" w:hAnsi="Times New Roman" w:cs="Times New Roman"/>
          <w:kern w:val="0"/>
          <w14:ligatures w14:val="none"/>
        </w:rPr>
        <w:t xml:space="preserve"> Yet that language, borrowed from </w:t>
      </w:r>
      <w:r>
        <w:rPr>
          <w:rFonts w:ascii="Times New Roman" w:eastAsia="Times New Roman" w:hAnsi="Times New Roman" w:cs="Times New Roman"/>
          <w:i/>
          <w:iCs/>
          <w:kern w:val="0"/>
          <w14:ligatures w14:val="none"/>
        </w:rPr>
        <w:t>Campbell</w:t>
      </w:r>
      <w:r>
        <w:rPr>
          <w:rFonts w:ascii="Times New Roman" w:eastAsia="Times New Roman" w:hAnsi="Times New Roman" w:cs="Times New Roman"/>
          <w:kern w:val="0"/>
          <w14:ligatures w14:val="none"/>
        </w:rPr>
        <w:t>, remains as subjective as the concept of “art” itself.</w:t>
      </w:r>
      <w:r>
        <w:rPr>
          <w:rStyle w:val="FootnoteReference"/>
        </w:rPr>
        <w:footnoteReference w:id="124"/>
      </w:r>
      <w:r>
        <w:rPr>
          <w:rFonts w:ascii="Times New Roman" w:eastAsia="Times New Roman" w:hAnsi="Times New Roman" w:cs="Times New Roman"/>
          <w:kern w:val="0"/>
          <w14:ligatures w14:val="none"/>
        </w:rPr>
        <w:t xml:space="preserve"> </w:t>
      </w:r>
    </w:p>
    <w:p w14:paraId="39D21E3E"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subjective boundary between similarity and transformation was evident in </w:t>
      </w:r>
      <w:r>
        <w:rPr>
          <w:rFonts w:ascii="Times New Roman" w:eastAsia="Times New Roman" w:hAnsi="Times New Roman" w:cs="Times New Roman"/>
          <w:i/>
          <w:iCs/>
          <w:kern w:val="0"/>
          <w14:ligatures w14:val="none"/>
        </w:rPr>
        <w:t xml:space="preserve">Comedy III, </w:t>
      </w:r>
      <w:r>
        <w:rPr>
          <w:rFonts w:ascii="Times New Roman" w:eastAsia="Times New Roman" w:hAnsi="Times New Roman" w:cs="Times New Roman"/>
          <w:kern w:val="0"/>
          <w14:ligatures w14:val="none"/>
        </w:rPr>
        <w:t>when the California Supreme Court held that a charcoal drawing of The Three Stooges, reproduced on T-shirts, infringed because the artist’s technical skill was “manifestly subordinated” to the goal of exploiting celebrity fame.</w:t>
      </w:r>
      <w:r>
        <w:rPr>
          <w:rStyle w:val="FootnoteReference"/>
        </w:rPr>
        <w:footnoteReference w:id="125"/>
      </w:r>
      <w:r>
        <w:rPr>
          <w:rFonts w:ascii="Times New Roman" w:eastAsia="Times New Roman" w:hAnsi="Times New Roman" w:cs="Times New Roman"/>
          <w:kern w:val="0"/>
          <w14:ligatures w14:val="none"/>
        </w:rPr>
        <w:t xml:space="preserve"> The court contrasted that work with Andy Warhol’s silkscreen portraits of Marilyn Monroe, suggesting that Warhol’s art was “transformative” because it imbued the image with a new expressive meaning.</w:t>
      </w:r>
      <w:r>
        <w:rPr>
          <w:rStyle w:val="FootnoteReference"/>
        </w:rPr>
        <w:footnoteReference w:id="126"/>
      </w:r>
    </w:p>
    <w:p w14:paraId="4CDF0976" w14:textId="57EDADD9"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distinction has always been difficult. Warhol’s own process was famously mechanical: “he had the photograph transferred to a silk screen, laid the image down on a canvas with pre-painted background colors, and then altered or enhanced it with other colors, which he applied himself – quite a painterly and labor-intensive procedure.”</w:t>
      </w:r>
      <w:r>
        <w:rPr>
          <w:rStyle w:val="FootnoteReference"/>
        </w:rPr>
        <w:footnoteReference w:id="127"/>
      </w:r>
      <w:r>
        <w:rPr>
          <w:rFonts w:ascii="Times New Roman" w:eastAsia="Times New Roman" w:hAnsi="Times New Roman" w:cs="Times New Roman"/>
          <w:kern w:val="0"/>
          <w14:ligatures w14:val="none"/>
        </w:rPr>
        <w:t xml:space="preserve"> His </w:t>
      </w:r>
      <w:r>
        <w:rPr>
          <w:rFonts w:ascii="Times New Roman" w:eastAsia="Times New Roman" w:hAnsi="Times New Roman" w:cs="Times New Roman"/>
          <w:i/>
          <w:iCs/>
          <w:kern w:val="0"/>
          <w14:ligatures w14:val="none"/>
        </w:rPr>
        <w:t>Marilyn Monroe</w:t>
      </w:r>
      <w:r>
        <w:rPr>
          <w:rFonts w:ascii="Times New Roman" w:eastAsia="Times New Roman" w:hAnsi="Times New Roman" w:cs="Times New Roman"/>
          <w:kern w:val="0"/>
          <w14:ligatures w14:val="none"/>
        </w:rPr>
        <w:t xml:space="preserve"> and </w:t>
      </w:r>
      <w:r>
        <w:rPr>
          <w:rFonts w:ascii="Times New Roman" w:eastAsia="Times New Roman" w:hAnsi="Times New Roman" w:cs="Times New Roman"/>
          <w:i/>
          <w:iCs/>
          <w:kern w:val="0"/>
          <w14:ligatures w14:val="none"/>
        </w:rPr>
        <w:t>Prince</w:t>
      </w:r>
      <w:r>
        <w:rPr>
          <w:rFonts w:ascii="Times New Roman" w:eastAsia="Times New Roman" w:hAnsi="Times New Roman" w:cs="Times New Roman"/>
          <w:kern w:val="0"/>
          <w14:ligatures w14:val="none"/>
        </w:rPr>
        <w:t xml:space="preserve"> portraits, as well as others, for example, of Elizabeth Taylor, Jackie Kennedy, and Mao, all shared nearly identical compositions</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the same cropped headshot, the same high-contrast tonality, the same repetition of panels differing only in hue. Warhol reportedly stated a desire to be machine-like in his art.</w:t>
      </w:r>
      <w:r>
        <w:rPr>
          <w:rStyle w:val="FootnoteReference"/>
        </w:rPr>
        <w:footnoteReference w:id="128"/>
      </w:r>
      <w:r>
        <w:rPr>
          <w:rFonts w:ascii="Times New Roman" w:eastAsia="Times New Roman" w:hAnsi="Times New Roman" w:cs="Times New Roman"/>
          <w:kern w:val="0"/>
          <w14:ligatures w14:val="none"/>
        </w:rPr>
        <w:t xml:space="preserve"> There is no doubt that seeing a “Warhol” instantly evokes the “sense” of Pop Art and the 1960s and 1970s, but what we must focus on here is the transformation from one expression of a copyrighted work, an original photograph, to possibly another, a work based closely upon the first. Regarding both </w:t>
      </w:r>
      <w:r>
        <w:rPr>
          <w:rFonts w:ascii="Times New Roman" w:eastAsia="Times New Roman" w:hAnsi="Times New Roman" w:cs="Times New Roman"/>
          <w:i/>
          <w:kern w:val="0"/>
          <w14:ligatures w14:val="none"/>
        </w:rPr>
        <w:t>Marilyn</w:t>
      </w:r>
      <w:r>
        <w:rPr>
          <w:rFonts w:ascii="Times New Roman" w:eastAsia="Times New Roman" w:hAnsi="Times New Roman" w:cs="Times New Roman"/>
          <w:kern w:val="0"/>
          <w14:ligatures w14:val="none"/>
        </w:rPr>
        <w:t xml:space="preserve"> and </w:t>
      </w:r>
      <w:r>
        <w:rPr>
          <w:rFonts w:ascii="Times New Roman" w:eastAsia="Times New Roman" w:hAnsi="Times New Roman" w:cs="Times New Roman"/>
          <w:i/>
          <w:kern w:val="0"/>
          <w14:ligatures w14:val="none"/>
        </w:rPr>
        <w:t>Prince</w:t>
      </w:r>
      <w:r>
        <w:rPr>
          <w:rFonts w:ascii="Times New Roman" w:eastAsia="Times New Roman" w:hAnsi="Times New Roman" w:cs="Times New Roman"/>
          <w:kern w:val="0"/>
          <w14:ligatures w14:val="none"/>
        </w:rPr>
        <w:t xml:space="preserve">, the “transformation” lay less in expressive commentary than </w:t>
      </w:r>
      <w:r>
        <w:rPr>
          <w:rFonts w:ascii="Times New Roman" w:eastAsia="Times New Roman" w:hAnsi="Times New Roman" w:cs="Times New Roman"/>
          <w:kern w:val="0"/>
          <w14:ligatures w14:val="none"/>
        </w:rPr>
        <w:lastRenderedPageBreak/>
        <w:t>in serial reproduction and colorization.</w:t>
      </w:r>
      <w:r>
        <w:rPr>
          <w:rStyle w:val="FootnoteReference"/>
        </w:rPr>
        <w:footnoteReference w:id="129"/>
      </w:r>
      <w:r>
        <w:rPr>
          <w:rFonts w:ascii="Times New Roman" w:eastAsia="Times New Roman" w:hAnsi="Times New Roman" w:cs="Times New Roman"/>
          <w:kern w:val="0"/>
          <w14:ligatures w14:val="none"/>
        </w:rPr>
        <w:t xml:space="preserve"> Yet </w:t>
      </w:r>
      <w:r>
        <w:rPr>
          <w:rFonts w:ascii="Times New Roman" w:eastAsia="Times New Roman" w:hAnsi="Times New Roman" w:cs="Times New Roman"/>
          <w:i/>
          <w:iCs/>
          <w:kern w:val="0"/>
          <w14:ligatures w14:val="none"/>
        </w:rPr>
        <w:t>Comedy III</w:t>
      </w:r>
      <w:r>
        <w:rPr>
          <w:rFonts w:ascii="Times New Roman" w:eastAsia="Times New Roman" w:hAnsi="Times New Roman" w:cs="Times New Roman"/>
          <w:kern w:val="0"/>
          <w14:ligatures w14:val="none"/>
        </w:rPr>
        <w:t xml:space="preserve"> treated Warhol’s celebrity as proof of artistic skill: if the artist was famous enough, the work must be art.</w:t>
      </w:r>
      <w:r>
        <w:rPr>
          <w:rStyle w:val="FootnoteReference"/>
        </w:rPr>
        <w:footnoteReference w:id="130"/>
      </w:r>
    </w:p>
    <w:p w14:paraId="237AE503"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Why was Warhol’s silkscreen of Marilyn Monroe deemed transformative when the charcoal sketch of the Three Stooges was not?</w:t>
      </w:r>
      <w:r>
        <w:rPr>
          <w:rStyle w:val="FootnoteReference"/>
        </w:rPr>
        <w:footnoteReference w:id="131"/>
      </w:r>
      <w:r>
        <w:rPr>
          <w:rFonts w:ascii="Times New Roman" w:eastAsia="Times New Roman" w:hAnsi="Times New Roman" w:cs="Times New Roman"/>
          <w:kern w:val="0"/>
          <w14:ligatures w14:val="none"/>
        </w:rPr>
        <w:t xml:space="preserve"> What if Gary Saderup had been as famous as Andy Warhol; or what if </w:t>
      </w:r>
      <w:proofErr w:type="spellStart"/>
      <w:r>
        <w:rPr>
          <w:rFonts w:ascii="Times New Roman" w:eastAsia="Times New Roman" w:hAnsi="Times New Roman" w:cs="Times New Roman"/>
          <w:kern w:val="0"/>
          <w14:ligatures w14:val="none"/>
        </w:rPr>
        <w:t>Saderup</w:t>
      </w:r>
      <w:proofErr w:type="spellEnd"/>
      <w:r>
        <w:rPr>
          <w:rFonts w:ascii="Times New Roman" w:eastAsia="Times New Roman" w:hAnsi="Times New Roman" w:cs="Times New Roman"/>
          <w:kern w:val="0"/>
          <w14:ligatures w14:val="none"/>
        </w:rPr>
        <w:t xml:space="preserve"> had decided to embellish the lithograph with a little more shadow or texture? The inconsistency suggests that transformation, while central to both copyright and publicity analysis, is not only very subjective, but may also depend as much on cultural status as on creative process.</w:t>
      </w:r>
      <w:r>
        <w:rPr>
          <w:rStyle w:val="FootnoteReference"/>
        </w:rPr>
        <w:footnoteReference w:id="132"/>
      </w:r>
      <w:r>
        <w:rPr>
          <w:rFonts w:ascii="Times New Roman" w:eastAsia="Times New Roman" w:hAnsi="Times New Roman" w:cs="Times New Roman"/>
          <w:kern w:val="0"/>
          <w14:ligatures w14:val="none"/>
        </w:rPr>
        <w:t xml:space="preserve"> </w:t>
      </w:r>
    </w:p>
    <w:p w14:paraId="3CB06235"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Pr>
          <w:rFonts w:ascii="Times New Roman" w:eastAsia="Times New Roman" w:hAnsi="Times New Roman" w:cs="Times New Roman"/>
          <w:i/>
          <w:iCs/>
          <w:kern w:val="0"/>
          <w14:ligatures w14:val="none"/>
        </w:rPr>
        <w:t>Comedy III–Warhol</w:t>
      </w:r>
      <w:r>
        <w:rPr>
          <w:rFonts w:ascii="Times New Roman" w:eastAsia="Times New Roman" w:hAnsi="Times New Roman" w:cs="Times New Roman"/>
          <w:kern w:val="0"/>
          <w14:ligatures w14:val="none"/>
        </w:rPr>
        <w:t xml:space="preserve"> arc thus exposes how context and celebrity can distort doctrinal analysis. The mechanical process that once exemplified “transformation” can also illustrate its limits. The difference lies not in Warhol’s technique but possibly in the law’s shifting tolerance for appropriation cloaked as art. As I have written elsewhere, fame can cloud </w:t>
      </w:r>
      <w:proofErr w:type="gramStart"/>
      <w:r>
        <w:rPr>
          <w:rFonts w:ascii="Times New Roman" w:eastAsia="Times New Roman" w:hAnsi="Times New Roman" w:cs="Times New Roman"/>
          <w:kern w:val="0"/>
          <w14:ligatures w14:val="none"/>
        </w:rPr>
        <w:t>a determination</w:t>
      </w:r>
      <w:proofErr w:type="gramEnd"/>
      <w:r>
        <w:rPr>
          <w:rFonts w:ascii="Times New Roman" w:eastAsia="Times New Roman" w:hAnsi="Times New Roman" w:cs="Times New Roman"/>
          <w:kern w:val="0"/>
          <w14:ligatures w14:val="none"/>
        </w:rPr>
        <w:t xml:space="preserve"> as to whether expression is protectable by making artistic meaning dependent on persona.</w:t>
      </w:r>
      <w:r>
        <w:rPr>
          <w:rStyle w:val="FootnoteReference"/>
        </w:rPr>
        <w:footnoteReference w:id="133"/>
      </w:r>
    </w:p>
    <w:p w14:paraId="55B454FB" w14:textId="4AFA1E05"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Artificial intelligence makes this subjectivity impossible to ignore. A machine can now transform an existing image or sound in virtually infinite ways</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altering color, rhythm, or tone</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without any human judgment about meaning. If transformation once required an author’s intent or skill, what happens when the “author” is an algorithm responding to a prompt?</w:t>
      </w:r>
      <w:r>
        <w:rPr>
          <w:rStyle w:val="FootnoteReference"/>
        </w:rPr>
        <w:footnoteReference w:id="134"/>
      </w:r>
      <w:r>
        <w:rPr>
          <w:rFonts w:ascii="Times New Roman" w:eastAsia="Times New Roman" w:hAnsi="Times New Roman" w:cs="Times New Roman"/>
          <w:kern w:val="0"/>
          <w14:ligatures w14:val="none"/>
        </w:rPr>
        <w:t xml:space="preserve"> The law’s reliance on human creativity as a proxy for transformation collapses when creative decision-making becomes automated. The blurred lines between expression and identity thus also become blurred lines between human and machine.</w:t>
      </w:r>
    </w:p>
    <w:p w14:paraId="022D1733" w14:textId="785E801A"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same questions that animated “Band Hero on Steroids” now inhabit the world of generative AI: Who owns a performance when no one physically performs it? Whose identity is invoked </w:t>
      </w:r>
      <w:r>
        <w:rPr>
          <w:rFonts w:ascii="Times New Roman" w:eastAsia="Times New Roman" w:hAnsi="Times New Roman" w:cs="Times New Roman"/>
          <w:kern w:val="0"/>
          <w14:ligatures w14:val="none"/>
        </w:rPr>
        <w:lastRenderedPageBreak/>
        <w:t>when a synthetic avatar sings with a famous voice? At what point does simulation become creation?</w:t>
      </w:r>
      <w:r>
        <w:rPr>
          <w:rStyle w:val="FootnoteReference"/>
        </w:rPr>
        <w:footnoteReference w:id="135"/>
      </w:r>
      <w:r>
        <w:rPr>
          <w:rFonts w:ascii="Times New Roman" w:eastAsia="Times New Roman" w:hAnsi="Times New Roman" w:cs="Times New Roman"/>
          <w:kern w:val="0"/>
          <w14:ligatures w14:val="none"/>
        </w:rPr>
        <w:t xml:space="preserve"> As these boundaries erode, courts will face a choice</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either stretch existing doctrines of authorship and transformation to fit new realities or acknowledge that AI forces a reconceptualization of both. For now, the building blocks of copyright and the right of publicity remain the law’s guideposts, even as the terrain beneath them continues to shift.</w:t>
      </w:r>
    </w:p>
    <w:p w14:paraId="16DFB63A" w14:textId="77777777" w:rsidR="00A75C8E" w:rsidRDefault="004C556B" w:rsidP="008372DB">
      <w:pPr>
        <w:spacing w:beforeAutospacing="1" w:afterAutospacing="1" w:line="240" w:lineRule="auto"/>
        <w:jc w:val="both"/>
        <w:outlineLvl w:val="1"/>
        <w:rPr>
          <w:rFonts w:ascii="Times New Roman" w:eastAsia="Times New Roman" w:hAnsi="Times New Roman" w:cs="Times New Roman"/>
          <w:b/>
          <w:bCs/>
          <w:kern w:val="0"/>
          <w:sz w:val="36"/>
          <w:szCs w:val="36"/>
          <w14:ligatures w14:val="none"/>
        </w:rPr>
      </w:pPr>
      <w:bookmarkStart w:id="41" w:name="_Toc220693061"/>
      <w:r>
        <w:rPr>
          <w:b/>
        </w:rPr>
        <w:t>8 CURRENT AI–COPYRIGHT LITIGATION</w:t>
      </w:r>
      <w:bookmarkEnd w:id="41"/>
    </w:p>
    <w:p w14:paraId="1F5E997B" w14:textId="38444B20"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Artificial intelligence raises anew the most fundamental question in copyright: what constitutes protectable “expression,” and what lies beyond its reach?</w:t>
      </w:r>
      <w:r>
        <w:rPr>
          <w:rStyle w:val="FootnoteReference"/>
        </w:rPr>
        <w:footnoteReference w:id="136"/>
      </w:r>
      <w:r>
        <w:rPr>
          <w:rFonts w:ascii="Times New Roman" w:eastAsia="Times New Roman" w:hAnsi="Times New Roman" w:cs="Times New Roman"/>
          <w:kern w:val="0"/>
          <w14:ligatures w14:val="none"/>
        </w:rPr>
        <w:t xml:space="preserve"> The process of training a generative AI model</w:t>
      </w:r>
      <w:r w:rsidR="009E4846">
        <w:rPr>
          <w:rFonts w:ascii="Times New Roman" w:eastAsia="Times New Roman" w:hAnsi="Times New Roman" w:cs="Times New Roman"/>
          <w:kern w:val="0"/>
          <w14:ligatures w14:val="none"/>
        </w:rPr>
        <w:t xml:space="preserve">, i.e., </w:t>
      </w:r>
      <w:r>
        <w:rPr>
          <w:rFonts w:ascii="Times New Roman" w:eastAsia="Times New Roman" w:hAnsi="Times New Roman" w:cs="Times New Roman"/>
          <w:kern w:val="0"/>
          <w14:ligatures w14:val="none"/>
        </w:rPr>
        <w:t>ingesting, analyzing, and reproducing vast quantities of creative material</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tests the limits of that distinction in ways both familiar and unprecedented. While </w:t>
      </w:r>
      <w:proofErr w:type="gramStart"/>
      <w:r>
        <w:rPr>
          <w:rFonts w:ascii="Times New Roman" w:eastAsia="Times New Roman" w:hAnsi="Times New Roman" w:cs="Times New Roman"/>
          <w:kern w:val="0"/>
          <w14:ligatures w14:val="none"/>
        </w:rPr>
        <w:t>the technology</w:t>
      </w:r>
      <w:proofErr w:type="gramEnd"/>
      <w:r>
        <w:rPr>
          <w:rFonts w:ascii="Times New Roman" w:eastAsia="Times New Roman" w:hAnsi="Times New Roman" w:cs="Times New Roman"/>
          <w:kern w:val="0"/>
          <w14:ligatures w14:val="none"/>
        </w:rPr>
        <w:t xml:space="preserve"> is novel, the doctrines that govern it are not. The same principles that shaped </w:t>
      </w:r>
      <w:r>
        <w:rPr>
          <w:rFonts w:ascii="Times New Roman" w:eastAsia="Times New Roman" w:hAnsi="Times New Roman" w:cs="Times New Roman"/>
          <w:i/>
          <w:iCs/>
          <w:kern w:val="0"/>
          <w14:ligatures w14:val="none"/>
        </w:rPr>
        <w:t>Baker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Campbell</w:t>
      </w:r>
      <w:r>
        <w:rPr>
          <w:rFonts w:ascii="Times New Roman" w:eastAsia="Times New Roman" w:hAnsi="Times New Roman" w:cs="Times New Roman"/>
          <w:kern w:val="0"/>
          <w14:ligatures w14:val="none"/>
        </w:rPr>
        <w:t xml:space="preserve"> and </w:t>
      </w:r>
      <w:r>
        <w:rPr>
          <w:rFonts w:ascii="Times New Roman" w:eastAsia="Times New Roman" w:hAnsi="Times New Roman" w:cs="Times New Roman"/>
          <w:i/>
          <w:kern w:val="0"/>
          <w14:ligatures w14:val="none"/>
        </w:rPr>
        <w:t>Warhol</w:t>
      </w:r>
      <w:r>
        <w:rPr>
          <w:rFonts w:ascii="Times New Roman" w:eastAsia="Times New Roman" w:hAnsi="Times New Roman" w:cs="Times New Roman"/>
          <w:kern w:val="0"/>
          <w14:ligatures w14:val="none"/>
        </w:rPr>
        <w:t xml:space="preserve"> will continue to explain how to understand where copyright protection begins and where copyright protection ends.</w:t>
      </w:r>
    </w:p>
    <w:p w14:paraId="0B32B5F7" w14:textId="77777777" w:rsidR="00A75C8E" w:rsidRDefault="004C556B" w:rsidP="008372DB">
      <w:pPr>
        <w:spacing w:beforeAutospacing="1" w:afterAutospacing="1" w:line="240" w:lineRule="auto"/>
        <w:jc w:val="both"/>
        <w:outlineLvl w:val="2"/>
        <w:rPr>
          <w:b/>
        </w:rPr>
      </w:pPr>
      <w:bookmarkStart w:id="42" w:name="_Toc220693062"/>
      <w:r>
        <w:rPr>
          <w:b/>
        </w:rPr>
        <w:t>8.1 The Common Issues</w:t>
      </w:r>
      <w:bookmarkEnd w:id="42"/>
    </w:p>
    <w:p w14:paraId="6CD0B859" w14:textId="7E817587" w:rsidR="001452AC" w:rsidRPr="00C65EB5" w:rsidRDefault="001452AC" w:rsidP="008372DB">
      <w:pPr>
        <w:spacing w:beforeAutospacing="1" w:afterAutospacing="1" w:line="240" w:lineRule="auto"/>
        <w:jc w:val="both"/>
        <w:outlineLvl w:val="2"/>
        <w:rPr>
          <w:rFonts w:ascii="Times New Roman" w:eastAsia="Times New Roman" w:hAnsi="Times New Roman" w:cs="Times New Roman"/>
          <w:bCs/>
          <w:kern w:val="0"/>
          <w:sz w:val="27"/>
          <w:szCs w:val="27"/>
          <w14:ligatures w14:val="none"/>
        </w:rPr>
      </w:pPr>
      <w:r>
        <w:rPr>
          <w:rFonts w:ascii="Times New Roman" w:eastAsia="Times New Roman" w:hAnsi="Times New Roman" w:cs="Times New Roman"/>
          <w:bCs/>
          <w:kern w:val="0"/>
          <w:sz w:val="27"/>
          <w:szCs w:val="27"/>
          <w14:ligatures w14:val="none"/>
        </w:rPr>
        <w:t xml:space="preserve">Some of the common issues </w:t>
      </w:r>
      <w:r w:rsidR="00C02E85">
        <w:rPr>
          <w:rFonts w:ascii="Times New Roman" w:eastAsia="Times New Roman" w:hAnsi="Times New Roman" w:cs="Times New Roman"/>
          <w:bCs/>
          <w:kern w:val="0"/>
          <w:sz w:val="27"/>
          <w:szCs w:val="27"/>
          <w14:ligatures w14:val="none"/>
        </w:rPr>
        <w:t xml:space="preserve">currently </w:t>
      </w:r>
      <w:r>
        <w:rPr>
          <w:rFonts w:ascii="Times New Roman" w:eastAsia="Times New Roman" w:hAnsi="Times New Roman" w:cs="Times New Roman"/>
          <w:bCs/>
          <w:kern w:val="0"/>
          <w:sz w:val="27"/>
          <w:szCs w:val="27"/>
          <w14:ligatures w14:val="none"/>
        </w:rPr>
        <w:t>being litigated pertain to questions arising from the basic building blocks of copyright: Section 8.1</w:t>
      </w:r>
      <w:r w:rsidR="005307A4">
        <w:rPr>
          <w:rFonts w:ascii="Times New Roman" w:eastAsia="Times New Roman" w:hAnsi="Times New Roman" w:cs="Times New Roman"/>
          <w:bCs/>
          <w:kern w:val="0"/>
          <w:sz w:val="27"/>
          <w:szCs w:val="27"/>
          <w14:ligatures w14:val="none"/>
        </w:rPr>
        <w:t>.1</w:t>
      </w:r>
      <w:r>
        <w:rPr>
          <w:rFonts w:ascii="Times New Roman" w:eastAsia="Times New Roman" w:hAnsi="Times New Roman" w:cs="Times New Roman"/>
          <w:bCs/>
          <w:kern w:val="0"/>
          <w:sz w:val="27"/>
          <w:szCs w:val="27"/>
          <w14:ligatures w14:val="none"/>
        </w:rPr>
        <w:t xml:space="preserve"> addresses the idea-expression dichotomy; Section 8.</w:t>
      </w:r>
      <w:r w:rsidR="005307A4">
        <w:rPr>
          <w:rFonts w:ascii="Times New Roman" w:eastAsia="Times New Roman" w:hAnsi="Times New Roman" w:cs="Times New Roman"/>
          <w:bCs/>
          <w:kern w:val="0"/>
          <w:sz w:val="27"/>
          <w:szCs w:val="27"/>
          <w14:ligatures w14:val="none"/>
        </w:rPr>
        <w:t>1.</w:t>
      </w:r>
      <w:r>
        <w:rPr>
          <w:rFonts w:ascii="Times New Roman" w:eastAsia="Times New Roman" w:hAnsi="Times New Roman" w:cs="Times New Roman"/>
          <w:bCs/>
          <w:kern w:val="0"/>
          <w:sz w:val="27"/>
          <w:szCs w:val="27"/>
          <w14:ligatures w14:val="none"/>
        </w:rPr>
        <w:t xml:space="preserve">2 discusses fair use; Section </w:t>
      </w:r>
      <w:r w:rsidR="005307A4">
        <w:rPr>
          <w:rFonts w:ascii="Times New Roman" w:eastAsia="Times New Roman" w:hAnsi="Times New Roman" w:cs="Times New Roman"/>
          <w:bCs/>
          <w:kern w:val="0"/>
          <w:sz w:val="27"/>
          <w:szCs w:val="27"/>
          <w14:ligatures w14:val="none"/>
        </w:rPr>
        <w:t xml:space="preserve">8.1.3 explores originality; and Section 8.1.4 concerns substantial similarity, derivative works, and the right of publicity. Other common issues </w:t>
      </w:r>
      <w:r w:rsidR="00C02E85">
        <w:rPr>
          <w:rFonts w:ascii="Times New Roman" w:eastAsia="Times New Roman" w:hAnsi="Times New Roman" w:cs="Times New Roman"/>
          <w:bCs/>
          <w:kern w:val="0"/>
          <w:sz w:val="27"/>
          <w:szCs w:val="27"/>
          <w14:ligatures w14:val="none"/>
        </w:rPr>
        <w:t xml:space="preserve">being litigated </w:t>
      </w:r>
      <w:r w:rsidR="005307A4">
        <w:rPr>
          <w:rFonts w:ascii="Times New Roman" w:eastAsia="Times New Roman" w:hAnsi="Times New Roman" w:cs="Times New Roman"/>
          <w:bCs/>
          <w:kern w:val="0"/>
          <w:sz w:val="27"/>
          <w:szCs w:val="27"/>
          <w14:ligatures w14:val="none"/>
        </w:rPr>
        <w:t xml:space="preserve">involve matters that are generally unique </w:t>
      </w:r>
      <w:r w:rsidR="00C02E85">
        <w:rPr>
          <w:rFonts w:ascii="Times New Roman" w:eastAsia="Times New Roman" w:hAnsi="Times New Roman" w:cs="Times New Roman"/>
          <w:bCs/>
          <w:kern w:val="0"/>
          <w:sz w:val="27"/>
          <w:szCs w:val="27"/>
          <w14:ligatures w14:val="none"/>
        </w:rPr>
        <w:t>to</w:t>
      </w:r>
      <w:r w:rsidR="005307A4">
        <w:rPr>
          <w:rFonts w:ascii="Times New Roman" w:eastAsia="Times New Roman" w:hAnsi="Times New Roman" w:cs="Times New Roman"/>
          <w:bCs/>
          <w:kern w:val="0"/>
          <w:sz w:val="27"/>
          <w:szCs w:val="27"/>
          <w14:ligatures w14:val="none"/>
        </w:rPr>
        <w:t xml:space="preserve"> AI: Section 8.1.5 discusses some new strategies used to minimize copying by AI models; Section 8.1.6 explores some relatively new claims made under the Digital Millenium Copyright Act; and Section 8.1.7 addresses the likely emergence of new sourcing and licensing schemes.</w:t>
      </w:r>
    </w:p>
    <w:p w14:paraId="337B73A3" w14:textId="77777777" w:rsidR="00A75C8E" w:rsidRDefault="004C556B" w:rsidP="008372DB">
      <w:pPr>
        <w:pStyle w:val="Heading4"/>
        <w:jc w:val="both"/>
        <w:rPr>
          <w:b/>
          <w:color w:val="auto"/>
          <w:kern w:val="0"/>
          <w:sz w:val="27"/>
          <w14:ligatures w14:val="none"/>
        </w:rPr>
      </w:pPr>
      <w:r>
        <w:rPr>
          <w:b/>
          <w:color w:val="auto"/>
        </w:rPr>
        <w:t>8.</w:t>
      </w:r>
      <w:bookmarkStart w:id="43" w:name="_Toc220693063"/>
      <w:r>
        <w:rPr>
          <w:b/>
          <w:color w:val="auto"/>
        </w:rPr>
        <w:t>1.1 Ingestion and the Idea–Expression Dichotomy</w:t>
      </w:r>
      <w:bookmarkEnd w:id="43"/>
    </w:p>
    <w:p w14:paraId="221002D1"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training of AI systems depends on exposure to immense datasets, many of which include copyrighted works.</w:t>
      </w:r>
      <w:r>
        <w:rPr>
          <w:rStyle w:val="FootnoteReference"/>
        </w:rPr>
        <w:footnoteReference w:id="137"/>
      </w:r>
      <w:r>
        <w:rPr>
          <w:rFonts w:ascii="Times New Roman" w:eastAsia="Times New Roman" w:hAnsi="Times New Roman" w:cs="Times New Roman"/>
          <w:kern w:val="0"/>
          <w14:ligatures w14:val="none"/>
        </w:rPr>
        <w:t xml:space="preserve"> As Matthew Sag wrote, generative AI models </w:t>
      </w:r>
    </w:p>
    <w:p w14:paraId="5B48D428" w14:textId="77777777" w:rsidR="00A75C8E" w:rsidRDefault="004C556B" w:rsidP="008372DB">
      <w:pPr>
        <w:spacing w:beforeAutospacing="1" w:afterAutospacing="1"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are not designed to copy original </w:t>
      </w:r>
      <w:proofErr w:type="gramStart"/>
      <w:r>
        <w:rPr>
          <w:rFonts w:ascii="Times New Roman" w:eastAsia="Times New Roman" w:hAnsi="Times New Roman" w:cs="Times New Roman"/>
          <w:kern w:val="0"/>
          <w14:ligatures w14:val="none"/>
        </w:rPr>
        <w:t>expression</w:t>
      </w:r>
      <w:proofErr w:type="gramEnd"/>
      <w:r>
        <w:rPr>
          <w:rFonts w:ascii="Times New Roman" w:eastAsia="Times New Roman" w:hAnsi="Times New Roman" w:cs="Times New Roman"/>
          <w:kern w:val="0"/>
          <w14:ligatures w14:val="none"/>
        </w:rPr>
        <w:t xml:space="preserve">. By and large, the only copying that occurs is when the training corpus is assembled and preprocessed. Gathering and </w:t>
      </w:r>
      <w:proofErr w:type="gramStart"/>
      <w:r>
        <w:rPr>
          <w:rFonts w:ascii="Times New Roman" w:eastAsia="Times New Roman" w:hAnsi="Times New Roman" w:cs="Times New Roman"/>
          <w:kern w:val="0"/>
          <w14:ligatures w14:val="none"/>
        </w:rPr>
        <w:t>preprocessing</w:t>
      </w:r>
      <w:proofErr w:type="gramEnd"/>
      <w:r>
        <w:rPr>
          <w:rFonts w:ascii="Times New Roman" w:eastAsia="Times New Roman" w:hAnsi="Times New Roman" w:cs="Times New Roman"/>
          <w:kern w:val="0"/>
          <w14:ligatures w14:val="none"/>
        </w:rPr>
        <w:t xml:space="preserve"> the </w:t>
      </w:r>
      <w:r>
        <w:rPr>
          <w:rFonts w:ascii="Times New Roman" w:eastAsia="Times New Roman" w:hAnsi="Times New Roman" w:cs="Times New Roman"/>
          <w:kern w:val="0"/>
          <w14:ligatures w14:val="none"/>
        </w:rPr>
        <w:lastRenderedPageBreak/>
        <w:t>training data usually involves copying, but the training process through which the model ‘learns’ from the data is not copying in any legally cognizable sense.</w:t>
      </w:r>
      <w:r>
        <w:rPr>
          <w:rStyle w:val="FootnoteReference"/>
        </w:rPr>
        <w:footnoteReference w:id="138"/>
      </w:r>
      <w:r>
        <w:rPr>
          <w:rFonts w:ascii="Times New Roman" w:eastAsia="Times New Roman" w:hAnsi="Times New Roman" w:cs="Times New Roman"/>
          <w:kern w:val="0"/>
          <w14:ligatures w14:val="none"/>
        </w:rPr>
        <w:t xml:space="preserve"> </w:t>
      </w:r>
    </w:p>
    <w:p w14:paraId="13FFE045" w14:textId="2F02DB19"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has led to a growing debate: does the ingestion of such works constitute infringement, or is it merely the functional use of ideas, styles, and facts</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elements that copyright law has long left unprotected?</w:t>
      </w:r>
      <w:r>
        <w:rPr>
          <w:rStyle w:val="FootnoteReference"/>
        </w:rPr>
        <w:footnoteReference w:id="139"/>
      </w:r>
      <w:r>
        <w:rPr>
          <w:rFonts w:ascii="Times New Roman" w:eastAsia="Times New Roman" w:hAnsi="Times New Roman" w:cs="Times New Roman"/>
          <w:kern w:val="0"/>
          <w14:ligatures w14:val="none"/>
        </w:rPr>
        <w:t xml:space="preserve"> From </w:t>
      </w:r>
      <w:r>
        <w:rPr>
          <w:rFonts w:ascii="Times New Roman" w:eastAsia="Times New Roman" w:hAnsi="Times New Roman" w:cs="Times New Roman"/>
          <w:i/>
          <w:iCs/>
          <w:kern w:val="0"/>
          <w14:ligatures w14:val="none"/>
        </w:rPr>
        <w:t xml:space="preserve">Baker </w:t>
      </w:r>
      <w:r>
        <w:rPr>
          <w:rFonts w:ascii="Times New Roman" w:eastAsia="Times New Roman" w:hAnsi="Times New Roman" w:cs="Times New Roman"/>
          <w:kern w:val="0"/>
          <w14:ligatures w14:val="none"/>
        </w:rPr>
        <w:t>onward, courts have held that copyright does not prevent others from learning from or using the methods, systems, or facts embedded in a work.</w:t>
      </w:r>
      <w:r>
        <w:rPr>
          <w:rStyle w:val="FootnoteReference"/>
        </w:rPr>
        <w:footnoteReference w:id="140"/>
      </w:r>
      <w:r>
        <w:rPr>
          <w:rFonts w:ascii="Times New Roman" w:eastAsia="Times New Roman" w:hAnsi="Times New Roman" w:cs="Times New Roman"/>
          <w:kern w:val="0"/>
          <w14:ligatures w14:val="none"/>
        </w:rPr>
        <w:t xml:space="preserve"> The same reasoning suggests that training a model on existing works, without reproducing or distributing their expressive elements, may fall outside copyright’s reach.</w:t>
      </w:r>
      <w:r>
        <w:rPr>
          <w:rStyle w:val="FootnoteReference"/>
        </w:rPr>
        <w:footnoteReference w:id="141"/>
      </w:r>
    </w:p>
    <w:p w14:paraId="5A4B7375" w14:textId="1B9C2B12"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That does not mean that the use is uncontroversial. Unlike human readers who internalize and reinterpret what they learn, AI systems store and process creative works at massive scale.</w:t>
      </w:r>
      <w:r>
        <w:rPr>
          <w:rStyle w:val="FootnoteReference"/>
        </w:rPr>
        <w:footnoteReference w:id="142"/>
      </w:r>
      <w:r>
        <w:rPr>
          <w:rFonts w:ascii="Times New Roman" w:eastAsia="Times New Roman" w:hAnsi="Times New Roman" w:cs="Times New Roman"/>
          <w:kern w:val="0"/>
          <w14:ligatures w14:val="none"/>
        </w:rPr>
        <w:t xml:space="preserve"> Yet, functionally, the act remains analytical rather than expressive</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 process of pattern recognition akin to human study. The distinction between expression and idea thus remains central. If AI training involves no fixation of expressive content, the act may resemble the unprotectable extraction of knowledge, rather than the copying of art.</w:t>
      </w:r>
      <w:r>
        <w:rPr>
          <w:rStyle w:val="FootnoteReference"/>
        </w:rPr>
        <w:footnoteReference w:id="143"/>
      </w:r>
    </w:p>
    <w:p w14:paraId="1B9938C8" w14:textId="77777777" w:rsidR="00A75C8E" w:rsidRDefault="004C556B" w:rsidP="008372DB">
      <w:pPr>
        <w:pStyle w:val="Heading4"/>
        <w:jc w:val="both"/>
        <w:rPr>
          <w:color w:val="auto"/>
        </w:rPr>
      </w:pPr>
      <w:r>
        <w:rPr>
          <w:b/>
          <w:color w:val="auto"/>
        </w:rPr>
        <w:t>8.1.</w:t>
      </w:r>
      <w:bookmarkStart w:id="44" w:name="_Toc220693064"/>
      <w:r>
        <w:rPr>
          <w:b/>
          <w:color w:val="auto"/>
        </w:rPr>
        <w:t>2 Fair Use and the Transformative Inquiry</w:t>
      </w:r>
      <w:bookmarkEnd w:id="44"/>
    </w:p>
    <w:p w14:paraId="60240BFF" w14:textId="61738BB9"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Even if AI training involves copying expressive works, the doctrine of fair use provides another analytical layer. </w:t>
      </w:r>
      <w:r>
        <w:rPr>
          <w:rFonts w:ascii="Times New Roman" w:eastAsia="Times New Roman" w:hAnsi="Times New Roman" w:cs="Times New Roman"/>
          <w:i/>
          <w:iCs/>
          <w:kern w:val="0"/>
          <w14:ligatures w14:val="none"/>
        </w:rPr>
        <w:t>Campbell</w:t>
      </w:r>
      <w:r>
        <w:rPr>
          <w:rFonts w:ascii="Times New Roman" w:eastAsia="Times New Roman" w:hAnsi="Times New Roman" w:cs="Times New Roman"/>
          <w:kern w:val="0"/>
          <w14:ligatures w14:val="none"/>
        </w:rPr>
        <w:t xml:space="preserve"> reframed fair use around the concept of transformation</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whether a new work adds something new, with a further purpose or different character.</w:t>
      </w:r>
      <w:r>
        <w:rPr>
          <w:rStyle w:val="FootnoteReference"/>
        </w:rPr>
        <w:footnoteReference w:id="144"/>
      </w:r>
      <w:r>
        <w:rPr>
          <w:rFonts w:ascii="Times New Roman" w:eastAsia="Times New Roman" w:hAnsi="Times New Roman" w:cs="Times New Roman"/>
          <w:kern w:val="0"/>
          <w14:ligatures w14:val="none"/>
        </w:rPr>
        <w:t xml:space="preserve"> Courts have applied this reasoning to functional, non-expressive uses of copyrighted works, such as search indexing and data analysis. In </w:t>
      </w:r>
      <w:r>
        <w:rPr>
          <w:rFonts w:ascii="Times New Roman" w:eastAsia="Times New Roman" w:hAnsi="Times New Roman" w:cs="Times New Roman"/>
          <w:i/>
          <w:iCs/>
          <w:kern w:val="0"/>
          <w14:ligatures w14:val="none"/>
        </w:rPr>
        <w:t xml:space="preserve">Google Books, </w:t>
      </w:r>
      <w:r>
        <w:rPr>
          <w:rFonts w:ascii="Times New Roman" w:eastAsia="Times New Roman" w:hAnsi="Times New Roman" w:cs="Times New Roman"/>
          <w:kern w:val="0"/>
          <w14:ligatures w14:val="none"/>
        </w:rPr>
        <w:t>the Second Circuit found that copying entire books for search indexing was fair because the purpose was informational rather than expressive.</w:t>
      </w:r>
      <w:r>
        <w:rPr>
          <w:rStyle w:val="FootnoteReference"/>
        </w:rPr>
        <w:footnoteReference w:id="145"/>
      </w:r>
      <w:r>
        <w:rPr>
          <w:rFonts w:ascii="Times New Roman" w:eastAsia="Times New Roman" w:hAnsi="Times New Roman" w:cs="Times New Roman"/>
          <w:kern w:val="0"/>
          <w14:ligatures w14:val="none"/>
        </w:rPr>
        <w:t xml:space="preserve"> Related decisions</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such as </w:t>
      </w:r>
      <w:r>
        <w:rPr>
          <w:rFonts w:ascii="Times New Roman" w:eastAsia="Times New Roman" w:hAnsi="Times New Roman" w:cs="Times New Roman"/>
          <w:i/>
          <w:iCs/>
          <w:kern w:val="0"/>
          <w14:ligatures w14:val="none"/>
        </w:rPr>
        <w:t>Kelly v. Arriba Soft Corp.</w:t>
      </w:r>
      <w:r>
        <w:rPr>
          <w:rFonts w:ascii="Times New Roman" w:eastAsia="Times New Roman" w:hAnsi="Times New Roman" w:cs="Times New Roman"/>
          <w:kern w:val="0"/>
          <w14:ligatures w14:val="none"/>
        </w:rPr>
        <w:t xml:space="preserve"> (thumbnails)</w:t>
      </w:r>
      <w:r>
        <w:rPr>
          <w:rStyle w:val="FootnoteReference"/>
        </w:rPr>
        <w:footnoteReference w:id="146"/>
      </w:r>
      <w:r>
        <w:rPr>
          <w:rFonts w:ascii="Times New Roman" w:eastAsia="Times New Roman" w:hAnsi="Times New Roman" w:cs="Times New Roman"/>
          <w:kern w:val="0"/>
          <w14:ligatures w14:val="none"/>
        </w:rPr>
        <w:t xml:space="preserve"> and </w:t>
      </w:r>
      <w:r>
        <w:rPr>
          <w:rFonts w:ascii="Times New Roman" w:eastAsia="Times New Roman" w:hAnsi="Times New Roman" w:cs="Times New Roman"/>
          <w:i/>
          <w:iCs/>
          <w:kern w:val="0"/>
          <w14:ligatures w14:val="none"/>
        </w:rPr>
        <w:t>Perfect 10, Inc. v. Amazon.com, Inc.</w:t>
      </w:r>
      <w:r>
        <w:rPr>
          <w:rFonts w:ascii="Times New Roman" w:eastAsia="Times New Roman" w:hAnsi="Times New Roman" w:cs="Times New Roman"/>
          <w:kern w:val="0"/>
          <w14:ligatures w14:val="none"/>
        </w:rPr>
        <w:t xml:space="preserve"> (image search)</w:t>
      </w:r>
      <w:r w:rsidR="009E4846">
        <w:rPr>
          <w:rFonts w:ascii="Times New Roman" w:eastAsia="Times New Roman" w:hAnsi="Times New Roman" w:cs="Times New Roman"/>
          <w:kern w:val="0"/>
          <w14:ligatures w14:val="none"/>
        </w:rPr>
        <w:t>,</w:t>
      </w:r>
      <w:r>
        <w:rPr>
          <w:rStyle w:val="FootnoteReference"/>
        </w:rPr>
        <w:footnoteReference w:id="147"/>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reflect the same logic for non-expressive, technological uses.</w:t>
      </w:r>
    </w:p>
    <w:p w14:paraId="61ED3071"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AI training may very well fit within this rationale. The purpose of ingesting creative works is not to re-express them but to enable the system to recognize relationships and structures that allow new outputs to emerge.</w:t>
      </w:r>
      <w:r>
        <w:rPr>
          <w:rStyle w:val="FootnoteReference"/>
        </w:rPr>
        <w:footnoteReference w:id="148"/>
      </w:r>
      <w:r>
        <w:rPr>
          <w:rFonts w:ascii="Times New Roman" w:eastAsia="Times New Roman" w:hAnsi="Times New Roman" w:cs="Times New Roman"/>
          <w:kern w:val="0"/>
          <w14:ligatures w14:val="none"/>
        </w:rPr>
        <w:t xml:space="preserve"> As Mark Lemley and Bryan Casey explained:</w:t>
      </w:r>
    </w:p>
    <w:p w14:paraId="63685416" w14:textId="77777777" w:rsidR="00A75C8E" w:rsidRDefault="004C556B" w:rsidP="008372DB">
      <w:pPr>
        <w:spacing w:beforeAutospacing="1" w:afterAutospacing="1"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proofErr w:type="spellStart"/>
      <w:r>
        <w:rPr>
          <w:rFonts w:ascii="Times New Roman" w:eastAsia="Times New Roman" w:hAnsi="Times New Roman" w:cs="Times New Roman"/>
          <w:kern w:val="0"/>
          <w14:ligatures w14:val="none"/>
        </w:rPr>
        <w:t>erhaps</w:t>
      </w:r>
      <w:proofErr w:type="spellEnd"/>
      <w:r>
        <w:rPr>
          <w:rFonts w:ascii="Times New Roman" w:eastAsia="Times New Roman" w:hAnsi="Times New Roman" w:cs="Times New Roman"/>
          <w:kern w:val="0"/>
          <w14:ligatures w14:val="none"/>
        </w:rPr>
        <w:t xml:space="preserve"> the strongest argument for fair use is one that lies at the heart of copyright theory but doesn’t actually show up explicitly in the case law: Like TDM [text data mining] technologies, ML [machine learning] systems generally don’t want to copy the copyrighted work for any copyright-related reason. ML systems generally copy works, not to get access to their creative expression (the part of the work the law protects), but to get access to the uncopyrightable parts of the work—the ideas, facts, and linguistic structure of the works.</w:t>
      </w:r>
      <w:r>
        <w:rPr>
          <w:rStyle w:val="FootnoteReference"/>
        </w:rPr>
        <w:footnoteReference w:id="149"/>
      </w:r>
      <w:r>
        <w:rPr>
          <w:rFonts w:ascii="Times New Roman" w:eastAsia="Times New Roman" w:hAnsi="Times New Roman" w:cs="Times New Roman"/>
          <w:kern w:val="0"/>
          <w14:ligatures w14:val="none"/>
        </w:rPr>
        <w:t xml:space="preserve"> </w:t>
      </w:r>
    </w:p>
    <w:p w14:paraId="346EC58E" w14:textId="77777777" w:rsidR="00A75C8E" w:rsidRDefault="004C556B" w:rsidP="008372DB">
      <w:pPr>
        <w:spacing w:beforeAutospacing="1" w:afterAutospacing="1"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AI training data should incorporate a principle we call “fair learning.” If the purpose of the AI’s use is not to obtain or incorporate the copyrightable elements of a work but to access, learn, and use the unprotectable parts of the work, that use should be presumptively fair under the first fair use factor (the purpose of the use).</w:t>
      </w:r>
      <w:r>
        <w:rPr>
          <w:rStyle w:val="FootnoteReference"/>
        </w:rPr>
        <w:footnoteReference w:id="150"/>
      </w:r>
    </w:p>
    <w:p w14:paraId="189DB234" w14:textId="105E017A"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addition, </w:t>
      </w:r>
      <w:r>
        <w:rPr>
          <w:rFonts w:ascii="Times New Roman" w:eastAsia="Times New Roman" w:hAnsi="Times New Roman" w:cs="Times New Roman"/>
          <w:i/>
          <w:kern w:val="0"/>
          <w14:ligatures w14:val="none"/>
        </w:rPr>
        <w:t>Warhol</w:t>
      </w:r>
      <w:r>
        <w:rPr>
          <w:rFonts w:ascii="Times New Roman" w:eastAsia="Times New Roman" w:hAnsi="Times New Roman" w:cs="Times New Roman"/>
          <w:kern w:val="0"/>
          <w14:ligatures w14:val="none"/>
        </w:rPr>
        <w:t xml:space="preserve"> dictates that attention must be paid as to whether, and if so, how much, the output affects the market for the originals. </w:t>
      </w:r>
      <w:r>
        <w:rPr>
          <w:rFonts w:ascii="Times New Roman" w:hAnsi="Times New Roman"/>
          <w:smallCaps/>
          <w:kern w:val="0"/>
          <w14:ligatures w14:val="none"/>
        </w:rPr>
        <w:t>Copyright Office: Part 3</w:t>
      </w:r>
      <w:r>
        <w:rPr>
          <w:rFonts w:ascii="Times New Roman" w:eastAsia="Times New Roman" w:hAnsi="Times New Roman" w:cs="Times New Roman"/>
          <w:kern w:val="0"/>
          <w14:ligatures w14:val="none"/>
        </w:rPr>
        <w:t xml:space="preserve"> acknowledges this tension, identifying the use of copyrighted works in training and the potential market effects as among the most pressing questions for future adjudication.</w:t>
      </w:r>
      <w:r>
        <w:rPr>
          <w:rStyle w:val="FootnoteReference"/>
        </w:rPr>
        <w:footnoteReference w:id="151"/>
      </w:r>
    </w:p>
    <w:p w14:paraId="74CA31A8" w14:textId="77777777" w:rsidR="00A75C8E" w:rsidRDefault="004C556B" w:rsidP="008372DB">
      <w:pPr>
        <w:pStyle w:val="Heading4"/>
        <w:jc w:val="both"/>
        <w:rPr>
          <w:color w:val="auto"/>
        </w:rPr>
      </w:pPr>
      <w:r>
        <w:rPr>
          <w:b/>
          <w:color w:val="auto"/>
        </w:rPr>
        <w:t>8.1.</w:t>
      </w:r>
      <w:bookmarkStart w:id="45" w:name="_Toc220693065"/>
      <w:r>
        <w:rPr>
          <w:b/>
          <w:color w:val="auto"/>
        </w:rPr>
        <w:t>3 Output and Originality</w:t>
      </w:r>
      <w:bookmarkEnd w:id="45"/>
    </w:p>
    <w:p w14:paraId="0BDFDFCA"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When a model generates new content, two different questions arise. The first one: does the resulting output embody sufficient human creativity to merit copyright protection? (The second one will be addressed in the next section.) </w:t>
      </w:r>
      <w:r>
        <w:rPr>
          <w:rFonts w:ascii="Times New Roman" w:eastAsia="Times New Roman" w:hAnsi="Times New Roman" w:cs="Times New Roman"/>
          <w:i/>
          <w:iCs/>
          <w:kern w:val="0"/>
          <w14:ligatures w14:val="none"/>
        </w:rPr>
        <w:t>Feist</w:t>
      </w:r>
      <w:r>
        <w:rPr>
          <w:rFonts w:ascii="Times New Roman" w:eastAsia="Times New Roman" w:hAnsi="Times New Roman" w:cs="Times New Roman"/>
          <w:kern w:val="0"/>
          <w14:ligatures w14:val="none"/>
        </w:rPr>
        <w:t xml:space="preserve"> held that copyright requires independent creation and a “modicum of creativity.”</w:t>
      </w:r>
      <w:r>
        <w:rPr>
          <w:rStyle w:val="FootnoteReference"/>
        </w:rPr>
        <w:footnoteReference w:id="152"/>
      </w:r>
      <w:r>
        <w:rPr>
          <w:rFonts w:ascii="Times New Roman" w:eastAsia="Times New Roman" w:hAnsi="Times New Roman" w:cs="Times New Roman"/>
          <w:kern w:val="0"/>
          <w14:ligatures w14:val="none"/>
        </w:rPr>
        <w:t xml:space="preserve"> That standard, easily satisfied by even minimal human judgment, becomes difficult to apply when the “creator” is an algorithm. </w:t>
      </w:r>
      <w:r>
        <w:rPr>
          <w:rFonts w:ascii="Times New Roman" w:hAnsi="Times New Roman"/>
          <w:kern w:val="0"/>
          <w14:ligatures w14:val="none"/>
        </w:rPr>
        <w:t xml:space="preserve">Copyright Registration Guidance </w:t>
      </w:r>
      <w:r>
        <w:rPr>
          <w:rFonts w:ascii="Times New Roman" w:eastAsia="Times New Roman" w:hAnsi="Times New Roman" w:cs="Times New Roman"/>
          <w:kern w:val="0"/>
          <w14:ligatures w14:val="none"/>
        </w:rPr>
        <w:t>confirms that copyright extends only to human-authored portions of a work.</w:t>
      </w:r>
      <w:r>
        <w:rPr>
          <w:rStyle w:val="FootnoteReference"/>
        </w:rPr>
        <w:footnoteReference w:id="153"/>
      </w:r>
    </w:p>
    <w:p w14:paraId="2698EF1F" w14:textId="096D3490"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practice, this means that if a user exercises creative control over the output</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by selecting prompts, editing results, or combining generated material into a larger composition</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the human contributions may be protected even if the underlying generative process is not.</w:t>
      </w:r>
      <w:r>
        <w:rPr>
          <w:rStyle w:val="FootnoteReference"/>
        </w:rPr>
        <w:footnoteReference w:id="154"/>
      </w:r>
      <w:r>
        <w:rPr>
          <w:rFonts w:ascii="Times New Roman" w:eastAsia="Times New Roman" w:hAnsi="Times New Roman" w:cs="Times New Roman"/>
          <w:kern w:val="0"/>
          <w14:ligatures w14:val="none"/>
        </w:rPr>
        <w:t xml:space="preserve"> The dividing line between human authorship and machine assistance thus becomes one of degree, not kind. Just as a photographer’s selection of angle and lighting transformed a mechanical process into human </w:t>
      </w:r>
      <w:r>
        <w:rPr>
          <w:rFonts w:ascii="Times New Roman" w:eastAsia="Times New Roman" w:hAnsi="Times New Roman" w:cs="Times New Roman"/>
          <w:kern w:val="0"/>
          <w14:ligatures w14:val="none"/>
        </w:rPr>
        <w:lastRenderedPageBreak/>
        <w:t xml:space="preserve">authorship in </w:t>
      </w:r>
      <w:r>
        <w:rPr>
          <w:rFonts w:ascii="Times New Roman" w:eastAsia="Times New Roman" w:hAnsi="Times New Roman" w:cs="Times New Roman"/>
          <w:i/>
          <w:iCs/>
          <w:kern w:val="0"/>
          <w14:ligatures w14:val="none"/>
        </w:rPr>
        <w:t>Burrow-Giles</w:t>
      </w:r>
      <w:r>
        <w:rPr>
          <w:rFonts w:ascii="Times New Roman" w:eastAsia="Times New Roman" w:hAnsi="Times New Roman" w:cs="Times New Roman"/>
          <w:kern w:val="0"/>
          <w14:ligatures w14:val="none"/>
        </w:rPr>
        <w:t>, so too might a user’s creative decisions convert AI assistance into protected expression.</w:t>
      </w:r>
      <w:r>
        <w:rPr>
          <w:rStyle w:val="FootnoteReference"/>
        </w:rPr>
        <w:footnoteReference w:id="155"/>
      </w:r>
      <w:r>
        <w:rPr>
          <w:rFonts w:ascii="Times New Roman" w:eastAsia="Times New Roman" w:hAnsi="Times New Roman" w:cs="Times New Roman"/>
          <w:kern w:val="0"/>
          <w14:ligatures w14:val="none"/>
        </w:rPr>
        <w:t xml:space="preserve"> The Office’s 2025 </w:t>
      </w:r>
      <w:r>
        <w:rPr>
          <w:rFonts w:ascii="Times New Roman" w:hAnsi="Times New Roman"/>
          <w:smallCaps/>
          <w:kern w:val="0"/>
          <w14:ligatures w14:val="none"/>
        </w:rPr>
        <w:t>Copyright Office: Part 2</w:t>
      </w:r>
      <w:r>
        <w:rPr>
          <w:rFonts w:ascii="Times New Roman" w:eastAsia="Times New Roman" w:hAnsi="Times New Roman" w:cs="Times New Roman"/>
          <w:kern w:val="0"/>
          <w14:ligatures w14:val="none"/>
        </w:rPr>
        <w:t xml:space="preserve"> report canvassed these issues extensively, noting that prompt design alone does not necessarily make a user an “author,” but that iterative, creative prompting and curation can amount to the human intellectual conception required for protection.</w:t>
      </w:r>
      <w:r>
        <w:rPr>
          <w:rStyle w:val="FootnoteReference"/>
        </w:rPr>
        <w:footnoteReference w:id="156"/>
      </w:r>
    </w:p>
    <w:p w14:paraId="541A4E94" w14:textId="77777777" w:rsidR="00A75C8E" w:rsidRDefault="004C556B" w:rsidP="008372DB">
      <w:pPr>
        <w:pStyle w:val="Heading4"/>
        <w:jc w:val="both"/>
        <w:rPr>
          <w:color w:val="auto"/>
        </w:rPr>
      </w:pPr>
      <w:r>
        <w:rPr>
          <w:b/>
          <w:color w:val="auto"/>
        </w:rPr>
        <w:t>8.1.</w:t>
      </w:r>
      <w:bookmarkStart w:id="48" w:name="_Toc220693066"/>
      <w:r>
        <w:rPr>
          <w:b/>
          <w:color w:val="auto"/>
        </w:rPr>
        <w:t>4 Style, Substantial Similarity, Derivative Works, and Rights of Publicity</w:t>
      </w:r>
      <w:bookmarkEnd w:id="48"/>
    </w:p>
    <w:p w14:paraId="10456733" w14:textId="60A3A689"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second question arises when generated outputs closely mimic existing creative styles or compositions. Are these expressive works, worthy of copyright protection, or are they derivative works or otherwise infringing? Courts assessing infringement traditionally look for “substantial similarity” in the protected expression of two works.</w:t>
      </w:r>
      <w:r>
        <w:rPr>
          <w:rStyle w:val="FootnoteReference"/>
        </w:rPr>
        <w:footnoteReference w:id="157"/>
      </w:r>
      <w:r>
        <w:rPr>
          <w:rFonts w:ascii="Times New Roman" w:eastAsia="Times New Roman" w:hAnsi="Times New Roman" w:cs="Times New Roman"/>
          <w:kern w:val="0"/>
          <w14:ligatures w14:val="none"/>
        </w:rPr>
        <w:t xml:space="preserve"> Yet AI complicates that test: it may reproduce aspects of a creator’s “style” or “vibe” without copying any specific expression. Earlier cases about “look and feel” and musical “vibe</w:t>
      </w:r>
      <w:r w:rsidR="009E484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w:t>
      </w:r>
      <w:r w:rsidR="009E484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from </w:t>
      </w:r>
      <w:r>
        <w:rPr>
          <w:rFonts w:ascii="Times New Roman" w:eastAsia="Times New Roman" w:hAnsi="Times New Roman" w:cs="Times New Roman"/>
          <w:i/>
          <w:iCs/>
          <w:kern w:val="0"/>
          <w14:ligatures w14:val="none"/>
        </w:rPr>
        <w:t>Atari</w:t>
      </w:r>
      <w:r>
        <w:rPr>
          <w:rFonts w:ascii="Times New Roman" w:eastAsia="Times New Roman" w:hAnsi="Times New Roman" w:cs="Times New Roman"/>
          <w:kern w:val="0"/>
          <w14:ligatures w14:val="none"/>
        </w:rPr>
        <w:t xml:space="preserve"> to </w:t>
      </w:r>
      <w:r>
        <w:rPr>
          <w:rFonts w:ascii="Times New Roman" w:eastAsia="Times New Roman" w:hAnsi="Times New Roman" w:cs="Times New Roman"/>
          <w:i/>
          <w:iCs/>
          <w:kern w:val="0"/>
          <w14:ligatures w14:val="none"/>
        </w:rPr>
        <w:t>Blurred Lines</w:t>
      </w:r>
      <w:r w:rsidR="009E4846" w:rsidRPr="008372DB">
        <w:rPr>
          <w:rFonts w:ascii="Times New Roman" w:eastAsia="Times New Roman" w:hAnsi="Times New Roman" w:cs="Times New Roman"/>
          <w:kern w:val="0"/>
          <w14:ligatures w14:val="none"/>
        </w:rPr>
        <w:t>,</w:t>
      </w:r>
      <w:r w:rsidR="009E4846">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kern w:val="0"/>
          <w14:ligatures w14:val="none"/>
        </w:rPr>
        <w:t>illustrate the difficulty of distinguishing inspiration from appropriation.</w:t>
      </w:r>
      <w:r>
        <w:rPr>
          <w:rStyle w:val="FootnoteReference"/>
        </w:rPr>
        <w:footnoteReference w:id="158"/>
      </w:r>
    </w:p>
    <w:p w14:paraId="5194C46D"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often raises a deeper question: when a model reproduces the “essence” of an artist’s style, is it copying expression or merely exploring an idea? Copyright doctrine suggests the latter. Style, like genre or technique, has generally been treated as unprotectable. But as generative tools grow capable of producing near-perfect imitations of individual creative voices, that doctrinal line will again be tested. The same flexibility that allowed courts to distinguish expression from </w:t>
      </w:r>
      <w:proofErr w:type="gramStart"/>
      <w:r>
        <w:rPr>
          <w:rFonts w:ascii="Times New Roman" w:eastAsia="Times New Roman" w:hAnsi="Times New Roman" w:cs="Times New Roman"/>
          <w:kern w:val="0"/>
          <w14:ligatures w14:val="none"/>
        </w:rPr>
        <w:t>idea</w:t>
      </w:r>
      <w:proofErr w:type="gramEnd"/>
      <w:r>
        <w:rPr>
          <w:rFonts w:ascii="Times New Roman" w:eastAsia="Times New Roman" w:hAnsi="Times New Roman" w:cs="Times New Roman"/>
          <w:kern w:val="0"/>
          <w14:ligatures w14:val="none"/>
        </w:rPr>
        <w:t xml:space="preserve"> in software,</w:t>
      </w:r>
      <w:r>
        <w:rPr>
          <w:rStyle w:val="FootnoteReference"/>
        </w:rPr>
        <w:footnoteReference w:id="159"/>
      </w:r>
      <w:r>
        <w:rPr>
          <w:rFonts w:ascii="Times New Roman" w:eastAsia="Times New Roman" w:hAnsi="Times New Roman" w:cs="Times New Roman"/>
          <w:kern w:val="0"/>
          <w14:ligatures w14:val="none"/>
        </w:rPr>
        <w:t xml:space="preserve"> software interface,</w:t>
      </w:r>
      <w:r>
        <w:rPr>
          <w:rStyle w:val="FootnoteReference"/>
        </w:rPr>
        <w:footnoteReference w:id="160"/>
      </w:r>
      <w:r>
        <w:rPr>
          <w:rFonts w:ascii="Times New Roman" w:eastAsia="Times New Roman" w:hAnsi="Times New Roman" w:cs="Times New Roman"/>
          <w:kern w:val="0"/>
          <w14:ligatures w14:val="none"/>
        </w:rPr>
        <w:t xml:space="preserve"> and music</w:t>
      </w:r>
      <w:r>
        <w:rPr>
          <w:rStyle w:val="FootnoteReference"/>
        </w:rPr>
        <w:footnoteReference w:id="161"/>
      </w:r>
      <w:r>
        <w:rPr>
          <w:rFonts w:ascii="Times New Roman" w:eastAsia="Times New Roman" w:hAnsi="Times New Roman" w:cs="Times New Roman"/>
          <w:kern w:val="0"/>
          <w14:ligatures w14:val="none"/>
        </w:rPr>
        <w:t xml:space="preserve"> cases may soon be called upon to draw those lines for machine-generated expression.</w:t>
      </w:r>
    </w:p>
    <w:p w14:paraId="53406C94"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Yet another question has already surfaced: what if the output mimics a person’s look, voice, persona, style? This implicates </w:t>
      </w:r>
      <w:proofErr w:type="gramStart"/>
      <w:r>
        <w:rPr>
          <w:rFonts w:ascii="Times New Roman" w:eastAsia="Times New Roman" w:hAnsi="Times New Roman" w:cs="Times New Roman"/>
          <w:kern w:val="0"/>
          <w14:ligatures w14:val="none"/>
        </w:rPr>
        <w:t>rights of publicity</w:t>
      </w:r>
      <w:proofErr w:type="gramEnd"/>
      <w:r>
        <w:rPr>
          <w:rFonts w:ascii="Times New Roman" w:eastAsia="Times New Roman" w:hAnsi="Times New Roman" w:cs="Times New Roman"/>
          <w:kern w:val="0"/>
          <w14:ligatures w14:val="none"/>
        </w:rPr>
        <w:t xml:space="preserve"> and potentially First Amendment implications. These cases will soon proliferate.</w:t>
      </w:r>
    </w:p>
    <w:p w14:paraId="69924194" w14:textId="77777777" w:rsidR="00A75C8E" w:rsidRDefault="004C556B" w:rsidP="008372DB">
      <w:pPr>
        <w:pStyle w:val="Heading4"/>
        <w:jc w:val="both"/>
        <w:rPr>
          <w:color w:val="auto"/>
        </w:rPr>
      </w:pPr>
      <w:r>
        <w:rPr>
          <w:b/>
          <w:color w:val="auto"/>
        </w:rPr>
        <w:t>8.1.</w:t>
      </w:r>
      <w:bookmarkStart w:id="49" w:name="_Toc220693067"/>
      <w:r>
        <w:rPr>
          <w:b/>
          <w:color w:val="auto"/>
        </w:rPr>
        <w:t>5 Memorization, Safeguards, and Unlearning</w:t>
      </w:r>
      <w:bookmarkEnd w:id="49"/>
    </w:p>
    <w:p w14:paraId="2AEAC679" w14:textId="4C0A8268"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Cases are beginning to address the issue of “memorization” by AI models. </w:t>
      </w:r>
      <w:r>
        <w:rPr>
          <w:rFonts w:ascii="Times New Roman" w:eastAsia="Times New Roman" w:hAnsi="Times New Roman" w:cs="Times New Roman"/>
          <w:i/>
          <w:kern w:val="0"/>
          <w14:ligatures w14:val="none"/>
        </w:rPr>
        <w:t>Memorization</w:t>
      </w:r>
      <w:r>
        <w:rPr>
          <w:rFonts w:ascii="Times New Roman" w:eastAsia="Times New Roman" w:hAnsi="Times New Roman" w:cs="Times New Roman"/>
          <w:kern w:val="0"/>
          <w14:ligatures w14:val="none"/>
        </w:rPr>
        <w:t xml:space="preserve"> is when “an exact or near-exact copy of a piece of training data can be reconstructed by examining [a] model.”</w:t>
      </w:r>
      <w:r>
        <w:rPr>
          <w:rStyle w:val="FootnoteReference"/>
        </w:rPr>
        <w:footnoteReference w:id="162"/>
      </w:r>
      <w:r>
        <w:rPr>
          <w:rFonts w:ascii="Times New Roman" w:eastAsia="Times New Roman" w:hAnsi="Times New Roman" w:cs="Times New Roman"/>
          <w:kern w:val="0"/>
          <w14:ligatures w14:val="none"/>
        </w:rPr>
        <w:t xml:space="preserve"> More specifically, </w:t>
      </w:r>
      <w:r>
        <w:rPr>
          <w:rFonts w:ascii="Times New Roman" w:eastAsia="Times New Roman" w:hAnsi="Times New Roman" w:cs="Times New Roman"/>
          <w:i/>
          <w:kern w:val="0"/>
          <w14:ligatures w14:val="none"/>
        </w:rPr>
        <w:t>extraction</w:t>
      </w:r>
      <w:r>
        <w:rPr>
          <w:rFonts w:ascii="Times New Roman" w:eastAsia="Times New Roman" w:hAnsi="Times New Roman" w:cs="Times New Roman"/>
          <w:kern w:val="0"/>
          <w14:ligatures w14:val="none"/>
        </w:rPr>
        <w:t xml:space="preserve"> is “when a user intentionally and successfully prompts a model to generate an output that is an exact or near-exact copy of a piece of training data;” </w:t>
      </w:r>
      <w:r>
        <w:rPr>
          <w:rFonts w:ascii="Times New Roman" w:eastAsia="Times New Roman" w:hAnsi="Times New Roman" w:cs="Times New Roman"/>
          <w:i/>
          <w:kern w:val="0"/>
          <w14:ligatures w14:val="none"/>
        </w:rPr>
        <w:t>regurgitation</w:t>
      </w:r>
      <w:r>
        <w:rPr>
          <w:rFonts w:ascii="Times New Roman" w:hAnsi="Times New Roman"/>
          <w:i/>
          <w:kern w:val="0"/>
          <w14:ligatures w14:val="none"/>
        </w:rPr>
        <w:t xml:space="preserve"> is when “a model generates</w:t>
      </w:r>
      <w:r>
        <w:rPr>
          <w:rFonts w:ascii="Times New Roman" w:eastAsia="Times New Roman" w:hAnsi="Times New Roman" w:cs="Times New Roman"/>
          <w:kern w:val="0"/>
          <w14:ligatures w14:val="none"/>
        </w:rPr>
        <w:t xml:space="preserve"> an output that is an exact or near-exact copy of [a] piece of training data (whether or not the user intentionally prompted the model with that goal).”</w:t>
      </w:r>
      <w:r>
        <w:rPr>
          <w:rStyle w:val="FootnoteReference"/>
        </w:rPr>
        <w:footnoteReference w:id="163"/>
      </w:r>
      <w:r>
        <w:rPr>
          <w:rFonts w:ascii="Times New Roman" w:eastAsia="Times New Roman" w:hAnsi="Times New Roman" w:cs="Times New Roman"/>
          <w:kern w:val="0"/>
          <w14:ligatures w14:val="none"/>
        </w:rPr>
        <w:t xml:space="preserve"> Copyright claims are more likely to arise when models generate output that extracts or regurgitates copyrighted expression from the training data.</w:t>
      </w:r>
    </w:p>
    <w:p w14:paraId="0BCCE587"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Matthew Sag wrote, creators of AI models are beginning to realize that:</w:t>
      </w:r>
    </w:p>
    <w:p w14:paraId="4E8E3027" w14:textId="77777777" w:rsidR="00A75C8E" w:rsidRDefault="004C556B" w:rsidP="008372DB">
      <w:pPr>
        <w:spacing w:beforeAutospacing="1" w:afterAutospacing="1"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With appropriate safeguards in place, generative AI tools can be trained and deployed in a manner that respects the rights of original authors and </w:t>
      </w:r>
      <w:proofErr w:type="gramStart"/>
      <w:r>
        <w:rPr>
          <w:rFonts w:ascii="Times New Roman" w:eastAsia="Times New Roman" w:hAnsi="Times New Roman" w:cs="Times New Roman"/>
          <w:kern w:val="0"/>
          <w14:ligatures w14:val="none"/>
        </w:rPr>
        <w:t>artists, but</w:t>
      </w:r>
      <w:proofErr w:type="gramEnd"/>
      <w:r>
        <w:rPr>
          <w:rFonts w:ascii="Times New Roman" w:eastAsia="Times New Roman" w:hAnsi="Times New Roman" w:cs="Times New Roman"/>
          <w:kern w:val="0"/>
          <w14:ligatures w14:val="none"/>
        </w:rPr>
        <w:t xml:space="preserve"> still enables new creation. The legal and ethical imperative is to train models that learn abstract and uncopyrightable latent features of the training data and that do not simply memorize a compressed version of the training data.</w:t>
      </w:r>
      <w:r>
        <w:rPr>
          <w:rStyle w:val="FootnoteReference"/>
        </w:rPr>
        <w:footnoteReference w:id="164"/>
      </w:r>
    </w:p>
    <w:p w14:paraId="3FDA2647" w14:textId="77777777" w:rsidR="00A75C8E" w:rsidRDefault="004C556B" w:rsidP="008372DB">
      <w:pPr>
        <w:spacing w:beforeAutospacing="1"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One such safeguard being explored is </w:t>
      </w:r>
      <w:r>
        <w:rPr>
          <w:rFonts w:ascii="Times New Roman" w:eastAsia="Times New Roman" w:hAnsi="Times New Roman" w:cs="Times New Roman"/>
          <w:i/>
          <w:kern w:val="0"/>
          <w14:ligatures w14:val="none"/>
        </w:rPr>
        <w:t>unlearning</w:t>
      </w:r>
      <w:r>
        <w:rPr>
          <w:rFonts w:ascii="Times New Roman" w:eastAsia="Times New Roman" w:hAnsi="Times New Roman" w:cs="Times New Roman"/>
          <w:kern w:val="0"/>
          <w14:ligatures w14:val="none"/>
        </w:rPr>
        <w:t>.</w:t>
      </w:r>
      <w:r>
        <w:rPr>
          <w:rStyle w:val="FootnoteReference"/>
        </w:rPr>
        <w:footnoteReference w:id="165"/>
      </w:r>
      <w:r>
        <w:rPr>
          <w:rFonts w:ascii="Times New Roman" w:eastAsia="Times New Roman" w:hAnsi="Times New Roman" w:cs="Times New Roman"/>
          <w:kern w:val="0"/>
          <w14:ligatures w14:val="none"/>
        </w:rPr>
        <w:t xml:space="preserve"> Unlearning methods could “target either exact duplication of copyrighted expression in model outputs, or copying of more general, latent information that relates to creative expression.”</w:t>
      </w:r>
      <w:r>
        <w:rPr>
          <w:rStyle w:val="FootnoteReference"/>
        </w:rPr>
        <w:footnoteReference w:id="166"/>
      </w:r>
      <w:r>
        <w:rPr>
          <w:rFonts w:ascii="Times New Roman" w:eastAsia="Times New Roman" w:hAnsi="Times New Roman" w:cs="Times New Roman"/>
          <w:kern w:val="0"/>
          <w14:ligatures w14:val="none"/>
        </w:rPr>
        <w:t xml:space="preserve"> The idea is that if output results in something that is substantially similar to a copyrighted work upon which it trained, the model would attempt to filter this result.</w:t>
      </w:r>
      <w:r>
        <w:rPr>
          <w:rStyle w:val="FootnoteReference"/>
        </w:rPr>
        <w:footnoteReference w:id="167"/>
      </w:r>
      <w:r>
        <w:rPr>
          <w:rFonts w:ascii="Times New Roman" w:eastAsia="Times New Roman" w:hAnsi="Times New Roman" w:cs="Times New Roman"/>
          <w:kern w:val="0"/>
          <w14:ligatures w14:val="none"/>
        </w:rPr>
        <w:t xml:space="preserve"> A major obstacle, however, is that there is currently “no notion of similarity that can be used to programmatically and comprehensively determine which works are substantially similar in the interest of copyright law.”</w:t>
      </w:r>
      <w:r>
        <w:rPr>
          <w:rStyle w:val="FootnoteReference"/>
        </w:rPr>
        <w:footnoteReference w:id="168"/>
      </w:r>
    </w:p>
    <w:p w14:paraId="2EFB5107" w14:textId="77777777" w:rsidR="00A75C8E" w:rsidRDefault="004C556B" w:rsidP="008372DB">
      <w:pPr>
        <w:pStyle w:val="Heading4"/>
        <w:jc w:val="both"/>
        <w:rPr>
          <w:color w:val="auto"/>
        </w:rPr>
      </w:pPr>
      <w:r>
        <w:rPr>
          <w:b/>
          <w:color w:val="auto"/>
        </w:rPr>
        <w:lastRenderedPageBreak/>
        <w:t>8.1.</w:t>
      </w:r>
      <w:bookmarkStart w:id="50" w:name="_Toc220693068"/>
      <w:r>
        <w:rPr>
          <w:b/>
          <w:color w:val="auto"/>
        </w:rPr>
        <w:t>6 The Digital Millennium Copyright Act (DMCA)</w:t>
      </w:r>
      <w:bookmarkEnd w:id="50"/>
    </w:p>
    <w:p w14:paraId="7A604E35" w14:textId="77777777" w:rsidR="00A75C8E" w:rsidRDefault="004C556B" w:rsidP="008372DB">
      <w:pPr>
        <w:spacing w:beforeAutospacing="1" w:afterAutospacing="1" w:line="240" w:lineRule="auto"/>
        <w:jc w:val="both"/>
        <w:rPr>
          <w:rFonts w:ascii="Times New Roman" w:eastAsia="Times New Roman" w:hAnsi="Times New Roman" w:cs="Times New Roman"/>
          <w:bCs/>
        </w:rPr>
      </w:pPr>
      <w:r>
        <w:rPr>
          <w:rFonts w:ascii="Times New Roman" w:eastAsia="Times New Roman" w:hAnsi="Times New Roman" w:cs="Times New Roman"/>
          <w:bCs/>
        </w:rPr>
        <w:t>In parallel with classic infringement claims, plaintiffs increasingly invoke the Digital Millennium Copyright Act’s (DMCA) process-focused provisions.</w:t>
      </w:r>
      <w:r>
        <w:rPr>
          <w:rStyle w:val="FootnoteReference"/>
        </w:rPr>
        <w:footnoteReference w:id="169"/>
      </w:r>
      <w:r>
        <w:rPr>
          <w:rFonts w:ascii="Times New Roman" w:eastAsia="Times New Roman" w:hAnsi="Times New Roman" w:cs="Times New Roman"/>
          <w:bCs/>
        </w:rPr>
        <w:t xml:space="preserve"> Generally, Section 1201 targets the means of acquisition—arguing that bypassing paywalls, API gates, or even site-level crawl controls constitutes unlawful circumvention,</w:t>
      </w:r>
      <w:r>
        <w:rPr>
          <w:rStyle w:val="FootnoteReference"/>
        </w:rPr>
        <w:footnoteReference w:id="170"/>
      </w:r>
      <w:r>
        <w:rPr>
          <w:rFonts w:ascii="Times New Roman" w:eastAsia="Times New Roman" w:hAnsi="Times New Roman" w:cs="Times New Roman"/>
          <w:bCs/>
        </w:rPr>
        <w:t xml:space="preserve"> while Section 1202 targets the removal, alteration and distribution of copyright management information (CMI) during ingestion and training.</w:t>
      </w:r>
      <w:r>
        <w:rPr>
          <w:rStyle w:val="FootnoteReference"/>
        </w:rPr>
        <w:footnoteReference w:id="171"/>
      </w:r>
      <w:r>
        <w:rPr>
          <w:rFonts w:ascii="Times New Roman" w:eastAsia="Times New Roman" w:hAnsi="Times New Roman" w:cs="Times New Roman"/>
          <w:bCs/>
        </w:rPr>
        <w:t xml:space="preserve"> These claims allow courts to reach liability without first deciding fair use or substantial similarity, shifting the fight to access controls, logs, and provenance rather than traditional copyright infringement analysis.</w:t>
      </w:r>
      <w:r>
        <w:rPr>
          <w:rStyle w:val="FootnoteReference"/>
        </w:rPr>
        <w:footnoteReference w:id="172"/>
      </w:r>
    </w:p>
    <w:p w14:paraId="5BA55132" w14:textId="77777777" w:rsidR="00A75C8E" w:rsidRDefault="004C556B" w:rsidP="008372DB">
      <w:pPr>
        <w:spacing w:beforeAutospacing="1" w:afterAutospacing="1" w:line="240" w:lineRule="auto"/>
        <w:jc w:val="both"/>
        <w:rPr>
          <w:rFonts w:ascii="Times New Roman" w:eastAsia="Times New Roman" w:hAnsi="Times New Roman" w:cs="Times New Roman"/>
          <w:bCs/>
        </w:rPr>
      </w:pPr>
      <w:r>
        <w:rPr>
          <w:rFonts w:ascii="Times New Roman" w:eastAsia="Times New Roman" w:hAnsi="Times New Roman" w:cs="Times New Roman"/>
          <w:bCs/>
        </w:rPr>
        <w:t>Section 1201</w:t>
      </w:r>
      <w:r>
        <w:rPr>
          <w:rStyle w:val="FootnoteReference"/>
        </w:rPr>
        <w:footnoteReference w:id="173"/>
      </w:r>
      <w:r>
        <w:rPr>
          <w:rFonts w:ascii="Times New Roman" w:eastAsia="Times New Roman" w:hAnsi="Times New Roman" w:cs="Times New Roman"/>
          <w:bCs/>
        </w:rPr>
        <w:t xml:space="preserve"> prohibits circumventing a technological measure that “effectively controls access” to a work. While a few of the generative AI cases have pleaded this claim, none have survived motions to dismiss because model training does not usually require circumvention to get to content. </w:t>
      </w:r>
    </w:p>
    <w:p w14:paraId="7028D470" w14:textId="77777777" w:rsidR="00A75C8E" w:rsidRDefault="004C556B" w:rsidP="008372DB">
      <w:pPr>
        <w:spacing w:beforeAutospacing="1" w:afterAutospacing="1" w:line="240" w:lineRule="auto"/>
        <w:jc w:val="both"/>
        <w:rPr>
          <w:rFonts w:ascii="Times New Roman" w:eastAsia="Times New Roman" w:hAnsi="Times New Roman" w:cs="Times New Roman"/>
          <w:bCs/>
        </w:rPr>
      </w:pPr>
      <w:r>
        <w:rPr>
          <w:rFonts w:ascii="Times New Roman" w:eastAsia="Times New Roman" w:hAnsi="Times New Roman" w:cs="Times New Roman"/>
          <w:bCs/>
        </w:rPr>
        <w:t>Section 1202(a) prohibits the intentional provision or distribution of false CMI. 1202(b) prohibits the intentional removal or alteration of CMI with knowledge (or reasonable grounds to know) that such removal will enable, induce, facilitate, or conceal infringement.</w:t>
      </w:r>
      <w:r>
        <w:rPr>
          <w:rStyle w:val="FootnoteReference"/>
        </w:rPr>
        <w:footnoteReference w:id="174"/>
      </w:r>
      <w:r>
        <w:rPr>
          <w:rFonts w:ascii="Times New Roman" w:eastAsia="Times New Roman" w:hAnsi="Times New Roman" w:cs="Times New Roman"/>
          <w:bCs/>
        </w:rPr>
        <w:t xml:space="preserve"> As we will see, while some Section 1202(b) claims have survived in the generative AI cases, courts have generally required </w:t>
      </w:r>
      <w:r>
        <w:rPr>
          <w:rFonts w:ascii="Times New Roman" w:eastAsia="Times New Roman" w:hAnsi="Times New Roman" w:cs="Times New Roman"/>
          <w:bCs/>
        </w:rPr>
        <w:lastRenderedPageBreak/>
        <w:t>robust proof of the “double-scienter” requirement and of the specific facts pleaded in order to show a violation under either subsection (1), or (2), or (3).</w:t>
      </w:r>
    </w:p>
    <w:p w14:paraId="696AAE64" w14:textId="77777777" w:rsidR="00A75C8E" w:rsidRDefault="004C556B" w:rsidP="008372DB">
      <w:pPr>
        <w:pStyle w:val="Heading4"/>
        <w:spacing w:beforeAutospacing="1" w:afterAutospacing="1" w:line="240" w:lineRule="auto"/>
        <w:jc w:val="both"/>
        <w:rPr>
          <w:color w:val="auto"/>
        </w:rPr>
      </w:pPr>
      <w:bookmarkStart w:id="53" w:name="_Toc220693069"/>
      <w:r>
        <w:rPr>
          <w:b/>
          <w:color w:val="auto"/>
        </w:rPr>
        <w:t>8.1.7 Sourcing and Licensing</w:t>
      </w:r>
      <w:bookmarkEnd w:id="53"/>
    </w:p>
    <w:p w14:paraId="3CB12D23" w14:textId="77777777" w:rsidR="00A75C8E" w:rsidRDefault="004C556B" w:rsidP="008372DB">
      <w:pPr>
        <w:jc w:val="both"/>
        <w:rPr>
          <w:rFonts w:ascii="Times New Roman" w:eastAsia="Times New Roman" w:hAnsi="Times New Roman" w:cs="Times New Roman"/>
          <w:bCs/>
        </w:rPr>
      </w:pPr>
      <w:r>
        <w:rPr>
          <w:rFonts w:ascii="Times New Roman" w:eastAsia="Times New Roman" w:hAnsi="Times New Roman" w:cs="Times New Roman"/>
          <w:bCs/>
        </w:rPr>
        <w:t>Another issue that is becoming increasingly litigated concerns the provenance of the source material. In other words, has the training material been licensed or otherwise legally obtained?</w:t>
      </w:r>
      <w:r>
        <w:rPr>
          <w:rStyle w:val="FootnoteReference"/>
        </w:rPr>
        <w:footnoteReference w:id="175"/>
      </w:r>
      <w:r>
        <w:rPr>
          <w:rFonts w:ascii="Times New Roman" w:eastAsia="Times New Roman" w:hAnsi="Times New Roman" w:cs="Times New Roman"/>
          <w:bCs/>
        </w:rPr>
        <w:t xml:space="preserve"> As we will see in the sections that follow, it appears that a new basic building block is beginning to emerge in the generative AI cases. It is </w:t>
      </w:r>
      <w:proofErr w:type="gramStart"/>
      <w:r>
        <w:rPr>
          <w:rFonts w:ascii="Times New Roman" w:eastAsia="Times New Roman" w:hAnsi="Times New Roman" w:cs="Times New Roman"/>
          <w:bCs/>
        </w:rPr>
        <w:t>being shaped</w:t>
      </w:r>
      <w:proofErr w:type="gramEnd"/>
      <w:r>
        <w:rPr>
          <w:rFonts w:ascii="Times New Roman" w:eastAsia="Times New Roman" w:hAnsi="Times New Roman" w:cs="Times New Roman"/>
          <w:bCs/>
        </w:rPr>
        <w:t xml:space="preserve"> largely from the traditional copyright building blocks, including idea and expression, originality and compilations, human authorship, substantial similarity, fair use, and transformation, with some assistance from the DMCA, and from sourcing and licensing issues. Generative AI cases involving images and music will likely require much more guidance from (a very confusing set of) </w:t>
      </w:r>
      <w:proofErr w:type="gramStart"/>
      <w:r>
        <w:rPr>
          <w:rFonts w:ascii="Times New Roman" w:eastAsia="Times New Roman" w:hAnsi="Times New Roman" w:cs="Times New Roman"/>
          <w:bCs/>
        </w:rPr>
        <w:t>right</w:t>
      </w:r>
      <w:proofErr w:type="gramEnd"/>
      <w:r>
        <w:rPr>
          <w:rFonts w:ascii="Times New Roman" w:eastAsia="Times New Roman" w:hAnsi="Times New Roman" w:cs="Times New Roman"/>
          <w:bCs/>
        </w:rPr>
        <w:t xml:space="preserve"> of publicity laws.</w:t>
      </w:r>
    </w:p>
    <w:p w14:paraId="741D6663"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54" w:name="_Toc220693070"/>
      <w:r>
        <w:rPr>
          <w:b/>
        </w:rPr>
        <w:t>8.2 The Non-Generative AI Cases</w:t>
      </w:r>
      <w:bookmarkEnd w:id="54"/>
    </w:p>
    <w:p w14:paraId="26EDD987" w14:textId="77777777" w:rsidR="00A75C8E" w:rsidRDefault="004C556B" w:rsidP="008372DB">
      <w:pPr>
        <w:jc w:val="both"/>
        <w:rPr>
          <w:rFonts w:ascii="Times New Roman" w:hAnsi="Times New Roman" w:cs="Times New Roman"/>
        </w:rPr>
      </w:pPr>
      <w:r>
        <w:rPr>
          <w:rFonts w:ascii="Times New Roman" w:hAnsi="Times New Roman" w:cs="Times New Roman"/>
        </w:rPr>
        <w:t>These first few cases do not involve generative AI per se, but the lessons they provide are clearly relevant to the evolution of the law pertaining to generative AI.</w:t>
      </w:r>
      <w:r>
        <w:rPr>
          <w:rStyle w:val="FootnoteReference"/>
        </w:rPr>
        <w:footnoteReference w:id="176"/>
      </w:r>
      <w:r>
        <w:rPr>
          <w:rFonts w:ascii="Times New Roman" w:hAnsi="Times New Roman" w:cs="Times New Roman"/>
        </w:rPr>
        <w:t xml:space="preserve"> </w:t>
      </w:r>
    </w:p>
    <w:p w14:paraId="0DBEE9BC" w14:textId="77777777" w:rsidR="00A75C8E" w:rsidRDefault="004C556B" w:rsidP="008372DB">
      <w:pPr>
        <w:pStyle w:val="Heading4"/>
        <w:spacing w:before="0" w:after="0" w:line="240" w:lineRule="auto"/>
        <w:jc w:val="both"/>
        <w:rPr>
          <w:b/>
          <w:color w:val="auto"/>
          <w:kern w:val="0"/>
          <w:sz w:val="27"/>
          <w14:ligatures w14:val="none"/>
        </w:rPr>
      </w:pPr>
      <w:r>
        <w:rPr>
          <w:b/>
          <w:color w:val="auto"/>
        </w:rPr>
        <w:t>8.2.</w:t>
      </w:r>
      <w:bookmarkStart w:id="55" w:name="_Toc220693071"/>
      <w:r>
        <w:rPr>
          <w:b/>
          <w:color w:val="auto"/>
        </w:rPr>
        <w:t xml:space="preserve">1 Authors Guild v. </w:t>
      </w:r>
      <w:proofErr w:type="spellStart"/>
      <w:r>
        <w:rPr>
          <w:b/>
          <w:color w:val="auto"/>
        </w:rPr>
        <w:t>HathiTrust</w:t>
      </w:r>
      <w:bookmarkEnd w:id="55"/>
      <w:proofErr w:type="spellEnd"/>
    </w:p>
    <w:p w14:paraId="70199508" w14:textId="77777777" w:rsidR="00A75C8E" w:rsidRDefault="00A75C8E" w:rsidP="008372DB">
      <w:pPr>
        <w:jc w:val="both"/>
      </w:pPr>
    </w:p>
    <w:p w14:paraId="2077358A" w14:textId="77777777"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t xml:space="preserve">In 2014 the Second Circuit held, in </w:t>
      </w:r>
      <w:r>
        <w:rPr>
          <w:rFonts w:ascii="Times New Roman" w:hAnsi="Times New Roman" w:cs="Times New Roman"/>
          <w:i/>
        </w:rPr>
        <w:t xml:space="preserve">Authors Guild v. </w:t>
      </w:r>
      <w:proofErr w:type="spellStart"/>
      <w:r>
        <w:rPr>
          <w:rFonts w:ascii="Times New Roman" w:hAnsi="Times New Roman" w:cs="Times New Roman"/>
          <w:i/>
        </w:rPr>
        <w:t>HathiTrust</w:t>
      </w:r>
      <w:proofErr w:type="spellEnd"/>
      <w:r>
        <w:rPr>
          <w:rFonts w:ascii="Times New Roman" w:hAnsi="Times New Roman" w:cs="Times New Roman"/>
        </w:rPr>
        <w:t>, that a large-scale digitization of copyrighted books in order to create a full-text search engine of the books was a fair use and did not infringe upon the authors’ copyrights.</w:t>
      </w:r>
      <w:r>
        <w:rPr>
          <w:rStyle w:val="FootnoteReference"/>
        </w:rPr>
        <w:footnoteReference w:id="177"/>
      </w:r>
      <w:r>
        <w:rPr>
          <w:rFonts w:ascii="Times New Roman" w:hAnsi="Times New Roman" w:cs="Times New Roman"/>
        </w:rPr>
        <w:t xml:space="preserve"> The court focused on the first and fourth fair use factors pertaining to the full-text search.</w:t>
      </w:r>
      <w:r>
        <w:rPr>
          <w:rStyle w:val="FootnoteReference"/>
        </w:rPr>
        <w:footnoteReference w:id="178"/>
      </w:r>
      <w:r>
        <w:rPr>
          <w:rFonts w:ascii="Times New Roman" w:hAnsi="Times New Roman" w:cs="Times New Roman"/>
        </w:rPr>
        <w:t xml:space="preserve"> Examining the first factor, the court quoted from </w:t>
      </w:r>
      <w:r>
        <w:rPr>
          <w:rFonts w:ascii="Times New Roman" w:hAnsi="Times New Roman" w:cs="Times New Roman"/>
          <w:i/>
          <w:iCs/>
        </w:rPr>
        <w:t>Campbell</w:t>
      </w:r>
      <w:r>
        <w:rPr>
          <w:rFonts w:ascii="Times New Roman" w:hAnsi="Times New Roman" w:cs="Times New Roman"/>
        </w:rPr>
        <w:t>: “[T]he more transformative the new work, the less will be the significance of the other factors . . . that may weigh against a finding of fair use”</w:t>
      </w:r>
      <w:r>
        <w:rPr>
          <w:rStyle w:val="FootnoteReference"/>
        </w:rPr>
        <w:footnoteReference w:id="179"/>
      </w:r>
      <w:r>
        <w:rPr>
          <w:rFonts w:ascii="Times New Roman" w:hAnsi="Times New Roman" w:cs="Times New Roman"/>
        </w:rPr>
        <w:t xml:space="preserve"> and held that “a transformative work is one that serves a new and different function from the original work and is not a substitute for it.”</w:t>
      </w:r>
      <w:r>
        <w:rPr>
          <w:rStyle w:val="FootnoteReference"/>
        </w:rPr>
        <w:footnoteReference w:id="180"/>
      </w:r>
      <w:r>
        <w:rPr>
          <w:rFonts w:ascii="Times New Roman" w:hAnsi="Times New Roman" w:cs="Times New Roman"/>
        </w:rPr>
        <w:t xml:space="preserve"> Regarding the fourth factor, the court held that the full-text search posed no “harm to any existing or potential traditional market.”</w:t>
      </w:r>
      <w:r>
        <w:rPr>
          <w:rStyle w:val="FootnoteReference"/>
        </w:rPr>
        <w:footnoteReference w:id="181"/>
      </w:r>
    </w:p>
    <w:p w14:paraId="184DBCB0" w14:textId="77777777" w:rsidR="00A75C8E" w:rsidRDefault="004C556B" w:rsidP="008372DB">
      <w:pPr>
        <w:pStyle w:val="Heading4"/>
        <w:spacing w:beforeAutospacing="1" w:afterAutospacing="1" w:line="240" w:lineRule="auto"/>
        <w:jc w:val="both"/>
        <w:rPr>
          <w:color w:val="auto"/>
        </w:rPr>
      </w:pPr>
      <w:r>
        <w:rPr>
          <w:b/>
          <w:color w:val="auto"/>
        </w:rPr>
        <w:lastRenderedPageBreak/>
        <w:t>8.</w:t>
      </w:r>
      <w:bookmarkStart w:id="56" w:name="_Toc220693072"/>
      <w:r>
        <w:rPr>
          <w:b/>
          <w:color w:val="auto"/>
        </w:rPr>
        <w:t>2.2 Authors Guild v. Google, Inc.</w:t>
      </w:r>
      <w:bookmarkEnd w:id="56"/>
    </w:p>
    <w:p w14:paraId="794C5F56" w14:textId="77777777"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t xml:space="preserve">In a case the following year, </w:t>
      </w:r>
      <w:r>
        <w:rPr>
          <w:rFonts w:ascii="Times New Roman" w:hAnsi="Times New Roman" w:cs="Times New Roman"/>
          <w:i/>
        </w:rPr>
        <w:t>Authors Guild v. Google, Inc.</w:t>
      </w:r>
      <w:r>
        <w:rPr>
          <w:rFonts w:ascii="Times New Roman" w:hAnsi="Times New Roman" w:cs="Times New Roman"/>
        </w:rPr>
        <w:t>, the Second Circuit reviewed copyright claims of authors whose books had been copied and digitized as part of the defendant’s Google Books and Google Library Projects.</w:t>
      </w:r>
      <w:r>
        <w:rPr>
          <w:rStyle w:val="FootnoteReference"/>
        </w:rPr>
        <w:footnoteReference w:id="182"/>
      </w:r>
      <w:r>
        <w:rPr>
          <w:rFonts w:ascii="Times New Roman" w:hAnsi="Times New Roman" w:cs="Times New Roman"/>
        </w:rPr>
        <w:t xml:space="preserve"> Google had “scanned, rendered machine-readable and indexed more than 20 million books, including both copyrighted works and works in the public domain.”</w:t>
      </w:r>
      <w:r>
        <w:rPr>
          <w:rStyle w:val="FootnoteReference"/>
        </w:rPr>
        <w:footnoteReference w:id="183"/>
      </w:r>
      <w:r>
        <w:rPr>
          <w:rFonts w:ascii="Times New Roman" w:hAnsi="Times New Roman" w:cs="Times New Roman"/>
        </w:rPr>
        <w:t xml:space="preserve"> Extending </w:t>
      </w:r>
      <w:proofErr w:type="spellStart"/>
      <w:r>
        <w:rPr>
          <w:rFonts w:ascii="Times New Roman" w:hAnsi="Times New Roman" w:cs="Times New Roman"/>
          <w:i/>
        </w:rPr>
        <w:t>HathiTrust</w:t>
      </w:r>
      <w:proofErr w:type="spellEnd"/>
      <w:r>
        <w:rPr>
          <w:rFonts w:ascii="Times New Roman" w:hAnsi="Times New Roman" w:cs="Times New Roman"/>
        </w:rPr>
        <w:t xml:space="preserve">, the court held that both the search engine (like that in </w:t>
      </w:r>
      <w:proofErr w:type="spellStart"/>
      <w:r>
        <w:rPr>
          <w:rFonts w:ascii="Times New Roman" w:hAnsi="Times New Roman" w:cs="Times New Roman"/>
          <w:i/>
        </w:rPr>
        <w:t>HathiTrust</w:t>
      </w:r>
      <w:proofErr w:type="spellEnd"/>
      <w:r>
        <w:rPr>
          <w:rFonts w:ascii="Times New Roman" w:hAnsi="Times New Roman" w:cs="Times New Roman"/>
        </w:rPr>
        <w:t xml:space="preserve">), and a “search and snippet view function,” where portions of the text were displayed to users, were fair uses of the plaintiff’s works. Again, relying primarily on factors one and four, the court held that </w:t>
      </w:r>
    </w:p>
    <w:p w14:paraId="01F25750" w14:textId="77777777" w:rsidR="00A75C8E" w:rsidRDefault="00A75C8E" w:rsidP="008372DB">
      <w:pPr>
        <w:spacing w:after="0" w:line="240" w:lineRule="auto"/>
        <w:jc w:val="both"/>
        <w:rPr>
          <w:rFonts w:ascii="Times New Roman" w:hAnsi="Times New Roman" w:cs="Times New Roman"/>
        </w:rPr>
      </w:pPr>
    </w:p>
    <w:p w14:paraId="490C4F49" w14:textId="77777777" w:rsidR="00A75C8E" w:rsidRDefault="004C556B" w:rsidP="008372DB">
      <w:pPr>
        <w:spacing w:after="0" w:line="240" w:lineRule="auto"/>
        <w:ind w:left="720"/>
        <w:jc w:val="both"/>
      </w:pPr>
      <w:r>
        <w:rPr>
          <w:rFonts w:ascii="Times New Roman" w:hAnsi="Times New Roman" w:cs="Times New Roman"/>
        </w:rPr>
        <w:t>Google’s unauthorized digitizing of copyright-protected works, creation of a search functionality, and display of snippets from those works are non-infringing fair uses. The purpose of the copying is highly transformative, the public display of text is limited, and the revelations do not provide a significant market substitute for the protected aspects of the originals.</w:t>
      </w:r>
      <w:r>
        <w:rPr>
          <w:rStyle w:val="FootnoteReference"/>
        </w:rPr>
        <w:footnoteReference w:id="184"/>
      </w:r>
    </w:p>
    <w:p w14:paraId="784A7856" w14:textId="77777777" w:rsidR="00A75C8E" w:rsidRDefault="00A75C8E" w:rsidP="008372DB">
      <w:pPr>
        <w:spacing w:after="0" w:line="240" w:lineRule="auto"/>
        <w:jc w:val="both"/>
        <w:rPr>
          <w:rFonts w:ascii="Times New Roman" w:hAnsi="Times New Roman" w:cs="Times New Roman"/>
        </w:rPr>
      </w:pPr>
    </w:p>
    <w:p w14:paraId="5BF783C3" w14:textId="77777777"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t xml:space="preserve">The court further held that, contrary to plaintiffs’ argument, the snippets created did not amount to derivative works. The court cited </w:t>
      </w:r>
      <w:proofErr w:type="spellStart"/>
      <w:r>
        <w:rPr>
          <w:rFonts w:ascii="Times New Roman" w:hAnsi="Times New Roman" w:cs="Times New Roman"/>
          <w:i/>
        </w:rPr>
        <w:t>HathiTrust</w:t>
      </w:r>
      <w:proofErr w:type="spellEnd"/>
      <w:r>
        <w:rPr>
          <w:rFonts w:ascii="Times New Roman" w:hAnsi="Times New Roman" w:cs="Times New Roman"/>
        </w:rPr>
        <w:t>, stating that a derivative work is typically a “translation of a novel into another language, the adaptation of a novel into a movie or a play, or the recasting of a novel as an e-book or an audiobook,” rather than a mere snippet.</w:t>
      </w:r>
      <w:r>
        <w:rPr>
          <w:rStyle w:val="FootnoteReference"/>
        </w:rPr>
        <w:footnoteReference w:id="185"/>
      </w:r>
    </w:p>
    <w:p w14:paraId="4186A7BB" w14:textId="77777777" w:rsidR="00A75C8E" w:rsidRDefault="004C556B" w:rsidP="008372DB">
      <w:pPr>
        <w:pStyle w:val="Heading4"/>
        <w:spacing w:beforeAutospacing="1" w:afterAutospacing="1" w:line="240" w:lineRule="auto"/>
        <w:jc w:val="both"/>
        <w:rPr>
          <w:b/>
          <w:color w:val="auto"/>
          <w:kern w:val="0"/>
          <w:sz w:val="27"/>
          <w14:ligatures w14:val="none"/>
        </w:rPr>
      </w:pPr>
      <w:r>
        <w:rPr>
          <w:b/>
          <w:color w:val="auto"/>
        </w:rPr>
        <w:t>8.2.</w:t>
      </w:r>
      <w:bookmarkStart w:id="57" w:name="_Toc220693073"/>
      <w:r>
        <w:rPr>
          <w:b/>
          <w:color w:val="auto"/>
        </w:rPr>
        <w:t>3 Google LLC v. Oracle America, Inc.</w:t>
      </w:r>
      <w:bookmarkEnd w:id="57"/>
    </w:p>
    <w:p w14:paraId="65DD8D3E" w14:textId="77777777"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rPr>
        <w:t>Google LLC v. Oracle America, Inc</w:t>
      </w:r>
      <w:r>
        <w:rPr>
          <w:rFonts w:ascii="Times New Roman" w:hAnsi="Times New Roman" w:cs="Times New Roman"/>
        </w:rPr>
        <w:t>.,</w:t>
      </w:r>
      <w:r>
        <w:rPr>
          <w:rStyle w:val="FootnoteReference"/>
        </w:rPr>
        <w:footnoteReference w:id="186"/>
      </w:r>
      <w:r>
        <w:rPr>
          <w:rFonts w:ascii="Times New Roman" w:hAnsi="Times New Roman" w:cs="Times New Roman"/>
        </w:rPr>
        <w:t xml:space="preserve"> the Supreme Court considered whether Google’s copying of a relatively small portion of Oracle’s code, albeit an important part, was fair use. Google was developing the Android software platform using a very commonly known programming tool called Java. In order to make it easier for the many programmers already familiar with Java, Google copied 37 packages from Oracle’s Sun Java Application Programming Interface (API). Google employed roughly 100 engineers, working for over three years, to generate millions of lines of new code. The Sun Java API code amounted to 2.86 million lines of code. Google copied 37 important packages of code, amounting to 11,500 lines of code (approximately 0.4 percent of the total Sun Java code).</w:t>
      </w:r>
    </w:p>
    <w:p w14:paraId="7F807B55" w14:textId="77777777" w:rsidR="00A75C8E" w:rsidRDefault="00A75C8E" w:rsidP="008372DB">
      <w:pPr>
        <w:spacing w:after="0" w:line="240" w:lineRule="auto"/>
        <w:jc w:val="both"/>
        <w:rPr>
          <w:rFonts w:ascii="Times New Roman" w:hAnsi="Times New Roman" w:cs="Times New Roman"/>
        </w:rPr>
      </w:pPr>
    </w:p>
    <w:p w14:paraId="7F0856B9" w14:textId="77777777"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t>The Court examined the fair use factor one and explored whether Google’s use “adds something new, with a further purpose or different character, altering” the copyrighted work “with new expression, meaning or messages.”</w:t>
      </w:r>
      <w:r>
        <w:rPr>
          <w:rStyle w:val="FootnoteReference"/>
        </w:rPr>
        <w:footnoteReference w:id="187"/>
      </w:r>
      <w:r>
        <w:rPr>
          <w:rFonts w:ascii="Times New Roman" w:hAnsi="Times New Roman" w:cs="Times New Roman"/>
        </w:rPr>
        <w:t xml:space="preserve"> Focusing on functionality, the Court stated that “Google copied portions of the Sun Java API precisely, and it did so in part for the same reason that Sun</w:t>
      </w:r>
      <w:r>
        <w:t xml:space="preserve"> </w:t>
      </w:r>
      <w:r>
        <w:rPr>
          <w:rFonts w:ascii="Times New Roman" w:hAnsi="Times New Roman" w:cs="Times New Roman"/>
        </w:rPr>
        <w:t xml:space="preserve">created those portions, namely, to enable programmers to call up implementing programs that </w:t>
      </w:r>
      <w:r>
        <w:rPr>
          <w:rFonts w:ascii="Times New Roman" w:hAnsi="Times New Roman" w:cs="Times New Roman"/>
        </w:rPr>
        <w:lastRenderedPageBreak/>
        <w:t>would accomplish particular tasks.”</w:t>
      </w:r>
      <w:r>
        <w:rPr>
          <w:rStyle w:val="FootnoteReference"/>
        </w:rPr>
        <w:footnoteReference w:id="188"/>
      </w:r>
      <w:r>
        <w:rPr>
          <w:rFonts w:ascii="Times New Roman" w:hAnsi="Times New Roman" w:cs="Times New Roman"/>
        </w:rPr>
        <w:t xml:space="preserve"> The Court found that the “purpose and character” of Google’s copying was transformative, and weighed in favor of fair use.</w:t>
      </w:r>
      <w:r>
        <w:rPr>
          <w:rStyle w:val="FootnoteReference"/>
        </w:rPr>
        <w:footnoteReference w:id="189"/>
      </w:r>
    </w:p>
    <w:p w14:paraId="7DF3F828" w14:textId="77777777" w:rsidR="00A75C8E" w:rsidRDefault="00A75C8E" w:rsidP="008372DB">
      <w:pPr>
        <w:spacing w:after="0" w:line="240" w:lineRule="auto"/>
        <w:jc w:val="both"/>
        <w:rPr>
          <w:rFonts w:ascii="Times New Roman" w:hAnsi="Times New Roman" w:cs="Times New Roman"/>
        </w:rPr>
      </w:pPr>
    </w:p>
    <w:p w14:paraId="1384079A" w14:textId="0138B35C"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t>The Court also examined factor three, the amount and substantiality of the portion used. While the Court recognized that “even a small amount of copying may fall outside of the scope of fair use where the excerpt copied consists of the ‘heart’ of the original work’s creative expression,” it held that Google’s purpose in copying those lines was not because of their beauty or creativity, but rather, because of their function</w:t>
      </w:r>
      <w:r w:rsidR="00010DB5">
        <w:rPr>
          <w:rFonts w:ascii="Times New Roman" w:hAnsi="Times New Roman" w:cs="Times New Roman"/>
        </w:rPr>
        <w:t xml:space="preserve">, i.e. </w:t>
      </w:r>
      <w:r>
        <w:rPr>
          <w:rFonts w:ascii="Times New Roman" w:hAnsi="Times New Roman" w:cs="Times New Roman"/>
        </w:rPr>
        <w:t>to make it easier for Java programmers to code on the new platform. The Court found factor three</w:t>
      </w:r>
      <w:r>
        <w:rPr>
          <w:rStyle w:val="FootnoteReference"/>
        </w:rPr>
        <w:footnoteReference w:id="190"/>
      </w:r>
      <w:r>
        <w:rPr>
          <w:rFonts w:ascii="Times New Roman" w:hAnsi="Times New Roman" w:cs="Times New Roman"/>
        </w:rPr>
        <w:t xml:space="preserve"> in favor of fair use.</w:t>
      </w:r>
    </w:p>
    <w:p w14:paraId="4B24562B" w14:textId="77777777" w:rsidR="00A75C8E" w:rsidRDefault="00A75C8E" w:rsidP="008372DB">
      <w:pPr>
        <w:spacing w:after="0" w:line="240" w:lineRule="auto"/>
        <w:jc w:val="both"/>
        <w:rPr>
          <w:rFonts w:ascii="Times New Roman" w:hAnsi="Times New Roman" w:cs="Times New Roman"/>
        </w:rPr>
      </w:pPr>
    </w:p>
    <w:p w14:paraId="4C0A8471" w14:textId="77777777"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t xml:space="preserve">Regarding the fourth factor, the Court relied on evidence from Google’s economic expert that Android was not a market substitute for Java’s software and that the two were very different </w:t>
      </w:r>
      <w:proofErr w:type="gramStart"/>
      <w:r>
        <w:rPr>
          <w:rFonts w:ascii="Times New Roman" w:hAnsi="Times New Roman" w:cs="Times New Roman"/>
        </w:rPr>
        <w:t>products, and</w:t>
      </w:r>
      <w:proofErr w:type="gramEnd"/>
      <w:r>
        <w:rPr>
          <w:rFonts w:ascii="Times New Roman" w:hAnsi="Times New Roman" w:cs="Times New Roman"/>
        </w:rPr>
        <w:t xml:space="preserve"> found that factor four also favored fair use.</w:t>
      </w:r>
      <w:r>
        <w:rPr>
          <w:rStyle w:val="FootnoteReference"/>
        </w:rPr>
        <w:footnoteReference w:id="191"/>
      </w:r>
    </w:p>
    <w:p w14:paraId="4A87AE34" w14:textId="77777777" w:rsidR="00A75C8E" w:rsidRDefault="004C556B" w:rsidP="008372DB">
      <w:pPr>
        <w:pStyle w:val="Heading4"/>
        <w:spacing w:beforeAutospacing="1" w:afterAutospacing="1" w:line="240" w:lineRule="auto"/>
        <w:jc w:val="both"/>
        <w:rPr>
          <w:b/>
          <w:color w:val="auto"/>
          <w:kern w:val="0"/>
          <w:sz w:val="27"/>
          <w14:ligatures w14:val="none"/>
        </w:rPr>
      </w:pPr>
      <w:r>
        <w:rPr>
          <w:b/>
          <w:color w:val="auto"/>
        </w:rPr>
        <w:t>8.2.</w:t>
      </w:r>
      <w:bookmarkStart w:id="58" w:name="_Toc220693074"/>
      <w:r>
        <w:rPr>
          <w:b/>
          <w:color w:val="auto"/>
        </w:rPr>
        <w:t>4 Thomson Reuters v. Ross Intelligence, Inc.</w:t>
      </w:r>
      <w:bookmarkEnd w:id="58"/>
    </w:p>
    <w:p w14:paraId="5232E1D9" w14:textId="77777777"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Thomson Reuters v. Ross Intelligence</w:t>
      </w:r>
      <w:r>
        <w:rPr>
          <w:rFonts w:ascii="Times New Roman" w:hAnsi="Times New Roman" w:cs="Times New Roman"/>
        </w:rPr>
        <w:t>, one of the earlier cases involving non-generative AI, the District Court for the District of Delaware, revisited its earlier summary judgment ruling in February 2025, granting much of the motion, regarding copyright infringement and fair use, that it had previously denied in 2023.</w:t>
      </w:r>
      <w:r>
        <w:rPr>
          <w:rStyle w:val="FootnoteReference"/>
        </w:rPr>
        <w:footnoteReference w:id="192"/>
      </w:r>
      <w:r>
        <w:rPr>
          <w:rFonts w:ascii="Times New Roman" w:hAnsi="Times New Roman" w:cs="Times New Roman"/>
        </w:rPr>
        <w:t xml:space="preserve"> The decision provided a rare victory for a content holder. In </w:t>
      </w:r>
      <w:proofErr w:type="gramStart"/>
      <w:r>
        <w:rPr>
          <w:rFonts w:ascii="Times New Roman" w:hAnsi="Times New Roman" w:cs="Times New Roman"/>
        </w:rPr>
        <w:t>the</w:t>
      </w:r>
      <w:proofErr w:type="gramEnd"/>
      <w:r>
        <w:rPr>
          <w:rFonts w:ascii="Times New Roman" w:hAnsi="Times New Roman" w:cs="Times New Roman"/>
        </w:rPr>
        <w:t xml:space="preserve"> case, the now-defunct defendant was creating a legal research search engine. In order to do so, it needed a database of legal material. It attempted to license some content from Westlaw (a product of the plaintiff</w:t>
      </w:r>
      <w:proofErr w:type="gramStart"/>
      <w:r>
        <w:rPr>
          <w:rFonts w:ascii="Times New Roman" w:hAnsi="Times New Roman" w:cs="Times New Roman"/>
        </w:rPr>
        <w:t>), but</w:t>
      </w:r>
      <w:proofErr w:type="gramEnd"/>
      <w:r>
        <w:rPr>
          <w:rFonts w:ascii="Times New Roman" w:hAnsi="Times New Roman" w:cs="Times New Roman"/>
        </w:rPr>
        <w:t xml:space="preserve"> was denied because defendant was a competitor. Instead, defendant licensed some legal content from a third party, but that material was built, in part, on Westlaw headnotes. When plaintiff learned of this, it sued defendant for copyright infringement.</w:t>
      </w:r>
    </w:p>
    <w:p w14:paraId="050F1D53" w14:textId="77777777" w:rsidR="00A75C8E" w:rsidRDefault="00A75C8E" w:rsidP="008372DB">
      <w:pPr>
        <w:spacing w:after="0" w:line="240" w:lineRule="auto"/>
        <w:jc w:val="both"/>
        <w:rPr>
          <w:rFonts w:ascii="Times New Roman" w:hAnsi="Times New Roman" w:cs="Times New Roman"/>
        </w:rPr>
      </w:pPr>
    </w:p>
    <w:p w14:paraId="2FE4A450" w14:textId="77777777"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t>In 2023, the court denied plaintiff’s motion for summary judgment on copyright infringement and on defendant’s fair use defense.</w:t>
      </w:r>
      <w:r>
        <w:rPr>
          <w:rStyle w:val="FootnoteReference"/>
        </w:rPr>
        <w:footnoteReference w:id="193"/>
      </w:r>
      <w:r>
        <w:rPr>
          <w:rFonts w:ascii="Times New Roman" w:hAnsi="Times New Roman" w:cs="Times New Roman"/>
        </w:rPr>
        <w:t xml:space="preserve"> The judge, in his 2025 decision, stated that he was simply wrong the first time around.</w:t>
      </w:r>
      <w:r>
        <w:rPr>
          <w:rStyle w:val="FootnoteReference"/>
        </w:rPr>
        <w:footnoteReference w:id="194"/>
      </w:r>
      <w:r>
        <w:rPr>
          <w:rFonts w:ascii="Times New Roman" w:hAnsi="Times New Roman" w:cs="Times New Roman"/>
        </w:rPr>
        <w:t xml:space="preserve"> This time, he granted summary judgment for most of the headnotes on the issues of actual copying and substantial similarity.</w:t>
      </w:r>
      <w:r>
        <w:rPr>
          <w:rStyle w:val="FootnoteReference"/>
        </w:rPr>
        <w:footnoteReference w:id="195"/>
      </w:r>
      <w:r>
        <w:rPr>
          <w:rFonts w:ascii="Times New Roman" w:hAnsi="Times New Roman" w:cs="Times New Roman"/>
        </w:rPr>
        <w:t xml:space="preserve"> He also granted summary judgment on the question of fair use, finding that factors two and three weighed in favor of the defendant, but that factors one and four weighed in favor of the plaintiff.</w:t>
      </w:r>
      <w:r>
        <w:rPr>
          <w:rStyle w:val="FootnoteReference"/>
        </w:rPr>
        <w:footnoteReference w:id="196"/>
      </w:r>
    </w:p>
    <w:p w14:paraId="71805C83" w14:textId="77777777" w:rsidR="00A75C8E" w:rsidRDefault="00A75C8E" w:rsidP="008372DB">
      <w:pPr>
        <w:spacing w:after="0" w:line="240" w:lineRule="auto"/>
        <w:jc w:val="both"/>
        <w:rPr>
          <w:rFonts w:ascii="Times New Roman" w:hAnsi="Times New Roman" w:cs="Times New Roman"/>
        </w:rPr>
      </w:pPr>
    </w:p>
    <w:p w14:paraId="646A0A6B" w14:textId="77777777"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lastRenderedPageBreak/>
        <w:t>On factor one, the court found in favor of the plaintiff because the defendant’s use is commercial and is not transformative.</w:t>
      </w:r>
      <w:r>
        <w:rPr>
          <w:rStyle w:val="FootnoteReference"/>
        </w:rPr>
        <w:footnoteReference w:id="197"/>
      </w:r>
      <w:r>
        <w:rPr>
          <w:rFonts w:ascii="Times New Roman" w:hAnsi="Times New Roman" w:cs="Times New Roman"/>
        </w:rPr>
        <w:t xml:space="preserve"> Relying on the </w:t>
      </w:r>
      <w:r>
        <w:rPr>
          <w:rFonts w:ascii="Times New Roman" w:hAnsi="Times New Roman" w:cs="Times New Roman"/>
          <w:i/>
        </w:rPr>
        <w:t>Warhol</w:t>
      </w:r>
      <w:r>
        <w:rPr>
          <w:rFonts w:ascii="Times New Roman" w:hAnsi="Times New Roman" w:cs="Times New Roman"/>
        </w:rPr>
        <w:t xml:space="preserve"> case, the court stated that defendant’s use is not transformative because it does not have a “further purpose or different character” than that of the plaintiff.</w:t>
      </w:r>
      <w:r>
        <w:rPr>
          <w:rStyle w:val="FootnoteReference"/>
        </w:rPr>
        <w:footnoteReference w:id="198"/>
      </w:r>
      <w:r>
        <w:rPr>
          <w:rFonts w:ascii="Times New Roman" w:hAnsi="Times New Roman" w:cs="Times New Roman"/>
        </w:rPr>
        <w:t xml:space="preserve"> The court stated that its previous denial of summary judgment on this matter was influenced too much by the old </w:t>
      </w:r>
      <w:r>
        <w:rPr>
          <w:rFonts w:ascii="Times New Roman" w:hAnsi="Times New Roman" w:cs="Times New Roman"/>
          <w:i/>
        </w:rPr>
        <w:t>Sega</w:t>
      </w:r>
      <w:r>
        <w:rPr>
          <w:rFonts w:ascii="Times New Roman" w:hAnsi="Times New Roman" w:cs="Times New Roman"/>
        </w:rPr>
        <w:t xml:space="preserve"> and </w:t>
      </w:r>
      <w:r>
        <w:rPr>
          <w:rFonts w:ascii="Times New Roman" w:hAnsi="Times New Roman" w:cs="Times New Roman"/>
          <w:i/>
        </w:rPr>
        <w:t>Sony</w:t>
      </w:r>
      <w:r>
        <w:rPr>
          <w:rFonts w:ascii="Times New Roman" w:hAnsi="Times New Roman" w:cs="Times New Roman"/>
        </w:rPr>
        <w:t xml:space="preserve"> computer cases.</w:t>
      </w:r>
      <w:r>
        <w:rPr>
          <w:rStyle w:val="FootnoteReference"/>
        </w:rPr>
        <w:footnoteReference w:id="199"/>
      </w:r>
      <w:r>
        <w:rPr>
          <w:rFonts w:ascii="Times New Roman" w:hAnsi="Times New Roman" w:cs="Times New Roman"/>
        </w:rPr>
        <w:t xml:space="preserve"> The court believed that this revised decision fit more neatly into the newer framework advanced in </w:t>
      </w:r>
      <w:r>
        <w:rPr>
          <w:rFonts w:ascii="Times New Roman" w:hAnsi="Times New Roman" w:cs="Times New Roman"/>
          <w:i/>
        </w:rPr>
        <w:t>Warhol</w:t>
      </w:r>
      <w:r>
        <w:rPr>
          <w:rFonts w:ascii="Times New Roman" w:hAnsi="Times New Roman" w:cs="Times New Roman"/>
        </w:rPr>
        <w:t>.</w:t>
      </w:r>
      <w:r>
        <w:rPr>
          <w:rStyle w:val="FootnoteReference"/>
        </w:rPr>
        <w:footnoteReference w:id="200"/>
      </w:r>
      <w:r>
        <w:rPr>
          <w:rFonts w:ascii="Times New Roman" w:hAnsi="Times New Roman" w:cs="Times New Roman"/>
        </w:rPr>
        <w:t xml:space="preserve"> The court also found factor four in favor of the plaintiff because defendant’s product was to be a competing product of Westlaw in the market.</w:t>
      </w:r>
    </w:p>
    <w:p w14:paraId="531E9C3D" w14:textId="77777777" w:rsidR="00A75C8E" w:rsidRDefault="00A75C8E" w:rsidP="008372DB">
      <w:pPr>
        <w:spacing w:after="0" w:line="240" w:lineRule="auto"/>
        <w:jc w:val="both"/>
        <w:rPr>
          <w:rFonts w:ascii="Times New Roman" w:hAnsi="Times New Roman" w:cs="Times New Roman"/>
        </w:rPr>
      </w:pPr>
    </w:p>
    <w:p w14:paraId="585CA32E" w14:textId="77777777" w:rsidR="00A75C8E" w:rsidRDefault="004C556B" w:rsidP="008372DB">
      <w:pPr>
        <w:spacing w:after="0" w:line="240" w:lineRule="auto"/>
        <w:jc w:val="both"/>
        <w:rPr>
          <w:rFonts w:ascii="Times New Roman" w:hAnsi="Times New Roman" w:cs="Times New Roman"/>
        </w:rPr>
      </w:pPr>
      <w:r>
        <w:rPr>
          <w:rFonts w:ascii="Times New Roman" w:hAnsi="Times New Roman" w:cs="Times New Roman"/>
        </w:rPr>
        <w:t xml:space="preserve">It remains to be seen if any of the generative AI cases will see that more restrictive </w:t>
      </w:r>
      <w:r>
        <w:rPr>
          <w:rFonts w:ascii="Times New Roman" w:hAnsi="Times New Roman" w:cs="Times New Roman"/>
          <w:i/>
          <w:iCs/>
        </w:rPr>
        <w:t>Warhol</w:t>
      </w:r>
      <w:r>
        <w:rPr>
          <w:rFonts w:ascii="Times New Roman" w:hAnsi="Times New Roman" w:cs="Times New Roman"/>
        </w:rPr>
        <w:t xml:space="preserve"> interpretation on factor one analysis. It is also worth noting that the defendant </w:t>
      </w:r>
      <w:proofErr w:type="gramStart"/>
      <w:r>
        <w:rPr>
          <w:rFonts w:ascii="Times New Roman" w:hAnsi="Times New Roman" w:cs="Times New Roman"/>
        </w:rPr>
        <w:t>had made</w:t>
      </w:r>
      <w:proofErr w:type="gramEnd"/>
      <w:r>
        <w:rPr>
          <w:rFonts w:ascii="Times New Roman" w:hAnsi="Times New Roman" w:cs="Times New Roman"/>
        </w:rPr>
        <w:t xml:space="preserve"> efforts to license the material it needed for AI training.</w:t>
      </w:r>
    </w:p>
    <w:p w14:paraId="74ECFF70" w14:textId="77777777" w:rsidR="00A75C8E" w:rsidRDefault="004C556B" w:rsidP="008372DB">
      <w:pPr>
        <w:spacing w:beforeAutospacing="1" w:afterAutospacing="1" w:line="240" w:lineRule="auto"/>
        <w:jc w:val="both"/>
        <w:outlineLvl w:val="2"/>
        <w:rPr>
          <w:b/>
        </w:rPr>
      </w:pPr>
      <w:bookmarkStart w:id="59" w:name="_Toc220693075"/>
      <w:r>
        <w:rPr>
          <w:b/>
        </w:rPr>
        <w:t>8.3 The Generative AI Cases</w:t>
      </w:r>
      <w:bookmarkEnd w:id="59"/>
    </w:p>
    <w:p w14:paraId="15FD4715" w14:textId="649D4E99" w:rsidR="00451EF5" w:rsidRPr="00C65EB5" w:rsidRDefault="0025130C" w:rsidP="008372DB">
      <w:pPr>
        <w:spacing w:beforeAutospacing="1" w:afterAutospacing="1" w:line="240" w:lineRule="auto"/>
        <w:jc w:val="both"/>
        <w:outlineLvl w:val="2"/>
        <w:rPr>
          <w:rFonts w:ascii="Times New Roman" w:eastAsia="Times New Roman" w:hAnsi="Times New Roman" w:cs="Times New Roman"/>
          <w:bCs/>
          <w:kern w:val="0"/>
          <w:sz w:val="27"/>
          <w:szCs w:val="27"/>
          <w14:ligatures w14:val="none"/>
        </w:rPr>
      </w:pPr>
      <w:r>
        <w:rPr>
          <w:rFonts w:ascii="Times New Roman" w:hAnsi="Times New Roman" w:cs="Times New Roman"/>
          <w:bCs/>
        </w:rPr>
        <w:t>The generative AI cases can be divided into a few different categories: Section 8.3.1 discusses cases involving computer coding; Section 8.3.2 explores cases involving images; and Sections 8.3.3 through 8.3.6 address case</w:t>
      </w:r>
      <w:r w:rsidR="00C02E85">
        <w:rPr>
          <w:rFonts w:ascii="Times New Roman" w:hAnsi="Times New Roman" w:cs="Times New Roman"/>
          <w:bCs/>
        </w:rPr>
        <w:t>s</w:t>
      </w:r>
      <w:r>
        <w:rPr>
          <w:rFonts w:ascii="Times New Roman" w:hAnsi="Times New Roman" w:cs="Times New Roman"/>
          <w:bCs/>
        </w:rPr>
        <w:t xml:space="preserve"> dealing primarily with text.</w:t>
      </w:r>
    </w:p>
    <w:p w14:paraId="431062D3" w14:textId="77777777" w:rsidR="00A75C8E" w:rsidRDefault="004C556B" w:rsidP="008372DB">
      <w:pPr>
        <w:pStyle w:val="Heading4"/>
        <w:jc w:val="both"/>
        <w:rPr>
          <w:color w:val="auto"/>
        </w:rPr>
      </w:pPr>
      <w:r>
        <w:rPr>
          <w:b/>
          <w:color w:val="auto"/>
        </w:rPr>
        <w:t>8.3.</w:t>
      </w:r>
      <w:bookmarkStart w:id="60" w:name="_Toc220693076"/>
      <w:r>
        <w:rPr>
          <w:b/>
          <w:color w:val="auto"/>
        </w:rPr>
        <w:t>1 GitHub, Copilot, Codex, and the Software Context</w:t>
      </w:r>
      <w:bookmarkEnd w:id="60"/>
    </w:p>
    <w:p w14:paraId="66AC0B25"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In one of the earlier generative AI cases, a number of programmers and software developers sued GitHub and OpenAI alleging that their AI-based Copilot and Codex products were trained on computer code written by the plaintiffs and taken from public code repositories.</w:t>
      </w:r>
      <w:r>
        <w:rPr>
          <w:rStyle w:val="FootnoteReference"/>
        </w:rPr>
        <w:footnoteReference w:id="201"/>
      </w:r>
      <w:r>
        <w:rPr>
          <w:rFonts w:ascii="Times New Roman" w:eastAsia="Times New Roman" w:hAnsi="Times New Roman" w:cs="Times New Roman"/>
        </w:rPr>
        <w:t xml:space="preserve"> There were over twenty legal claims made by the plaintiffs, but none for direct or indirect copyright infringement. Most of the claims were dismissed, but it is worth discussing the DMCA claims.</w:t>
      </w:r>
    </w:p>
    <w:p w14:paraId="71348A1E"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court had previously dismissed a claim under Section 1202(a), so it addresses only the three separate claims under Section 1202(b). All claims made under Section 1202(b) require that the behavior attributed to the defendant, i.e., under (b)(1), to “intentionally remove or alter any copyright management information” or, under (b)(2), to “distribute or import for distribution copyright management information </w:t>
      </w:r>
      <w:r>
        <w:rPr>
          <w:rFonts w:ascii="Times New Roman" w:eastAsia="Times New Roman" w:hAnsi="Times New Roman" w:cs="Times New Roman"/>
          <w:i/>
        </w:rPr>
        <w:t>knowing</w:t>
      </w:r>
      <w:r>
        <w:rPr>
          <w:rFonts w:ascii="Times New Roman" w:eastAsia="Times New Roman" w:hAnsi="Times New Roman" w:cs="Times New Roman"/>
        </w:rPr>
        <w:t xml:space="preserve"> that the copyright management information has been removed or altered without authority of the copyright owner or the law” or, under (b)(3), to “distribute, import for distribution, or publicly perform works, copies of works, or phonorecords, knowing that copyright management information has been removed or altered without authority of the copyright owner or the law” must be done so “</w:t>
      </w:r>
      <w:r>
        <w:rPr>
          <w:rFonts w:ascii="Times New Roman" w:eastAsia="Times New Roman" w:hAnsi="Times New Roman" w:cs="Times New Roman"/>
          <w:i/>
        </w:rPr>
        <w:t>knowing, or</w:t>
      </w:r>
      <w:r>
        <w:rPr>
          <w:rFonts w:ascii="Times New Roman" w:eastAsia="Times New Roman" w:hAnsi="Times New Roman" w:cs="Times New Roman"/>
        </w:rPr>
        <w:t xml:space="preserve">, with respect to civil remedies under section 1203, </w:t>
      </w:r>
      <w:r>
        <w:rPr>
          <w:rFonts w:ascii="Times New Roman" w:eastAsia="Times New Roman" w:hAnsi="Times New Roman" w:cs="Times New Roman"/>
          <w:i/>
        </w:rPr>
        <w:t>having reasonable grounds to know</w:t>
      </w:r>
      <w:r>
        <w:rPr>
          <w:rFonts w:ascii="Times New Roman" w:eastAsia="Times New Roman" w:hAnsi="Times New Roman" w:cs="Times New Roman"/>
        </w:rPr>
        <w:t xml:space="preserve">, that it will induce, enable, facilitate, or </w:t>
      </w:r>
      <w:r>
        <w:rPr>
          <w:rFonts w:ascii="Times New Roman" w:eastAsia="Times New Roman" w:hAnsi="Times New Roman" w:cs="Times New Roman"/>
        </w:rPr>
        <w:lastRenderedPageBreak/>
        <w:t>conceal an infringement of any right under this title.”</w:t>
      </w:r>
      <w:r>
        <w:rPr>
          <w:rStyle w:val="FootnoteReference"/>
        </w:rPr>
        <w:footnoteReference w:id="202"/>
      </w:r>
      <w:r>
        <w:rPr>
          <w:rFonts w:ascii="Times New Roman" w:eastAsia="Times New Roman" w:hAnsi="Times New Roman" w:cs="Times New Roman"/>
        </w:rPr>
        <w:t xml:space="preserve"> Thus, any claim made under (b)(2) requires “double-scienter.” In other words, it must be alleged that the action under (b)(2) was done </w:t>
      </w:r>
      <w:r>
        <w:rPr>
          <w:rFonts w:ascii="Times New Roman" w:eastAsia="Times New Roman" w:hAnsi="Times New Roman" w:cs="Times New Roman"/>
          <w:i/>
        </w:rPr>
        <w:t>knowing</w:t>
      </w:r>
      <w:r>
        <w:rPr>
          <w:rFonts w:ascii="Times New Roman" w:eastAsia="Times New Roman" w:hAnsi="Times New Roman" w:cs="Times New Roman"/>
        </w:rPr>
        <w:t xml:space="preserve"> that the CMI was removed or altered, and also (as for all claims under Section 1202(b)), </w:t>
      </w:r>
      <w:r>
        <w:rPr>
          <w:rFonts w:ascii="Times New Roman" w:eastAsia="Times New Roman" w:hAnsi="Times New Roman" w:cs="Times New Roman"/>
          <w:i/>
        </w:rPr>
        <w:t>knowing</w:t>
      </w:r>
      <w:r>
        <w:rPr>
          <w:rFonts w:ascii="Times New Roman" w:eastAsia="Times New Roman" w:hAnsi="Times New Roman" w:cs="Times New Roman"/>
        </w:rPr>
        <w:t xml:space="preserve"> . . . or having reasonable grounds to know that it will induce, enable, facilitate, or conceal an infringement. </w:t>
      </w:r>
    </w:p>
    <w:p w14:paraId="07A38E86"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The court held that, at “the pleading stage, mental conditions generally need not be alleged with specificity,” but that “the allegations in the complaint do not allege the distribution of altered CMI,” as required by Section 1202(b)(2).</w:t>
      </w:r>
      <w:r>
        <w:rPr>
          <w:rStyle w:val="FootnoteReference"/>
        </w:rPr>
        <w:footnoteReference w:id="203"/>
      </w:r>
      <w:r>
        <w:rPr>
          <w:rFonts w:ascii="Times New Roman" w:eastAsia="Times New Roman" w:hAnsi="Times New Roman" w:cs="Times New Roman"/>
        </w:rPr>
        <w:t xml:space="preserve"> Accordingly, the court dismissed the Section 1202(b)(2) claim for failure to sufficiently plead, but denied dismissal of the Section 1202(b)(1) and (b)(3) claims.</w:t>
      </w:r>
      <w:r>
        <w:rPr>
          <w:rStyle w:val="FootnoteReference"/>
        </w:rPr>
        <w:footnoteReference w:id="204"/>
      </w:r>
      <w:r>
        <w:rPr>
          <w:rFonts w:ascii="Times New Roman" w:eastAsia="Times New Roman" w:hAnsi="Times New Roman" w:cs="Times New Roman"/>
        </w:rPr>
        <w:t xml:space="preserve"> This is the first time we see the challenge in pleading DMCA claims, but it will not be the last.</w:t>
      </w:r>
    </w:p>
    <w:p w14:paraId="289F5444" w14:textId="77777777" w:rsidR="00A75C8E" w:rsidRDefault="004C556B" w:rsidP="008372DB">
      <w:pPr>
        <w:pStyle w:val="Heading4"/>
        <w:jc w:val="both"/>
        <w:rPr>
          <w:b/>
          <w:color w:val="auto"/>
          <w:sz w:val="27"/>
        </w:rPr>
      </w:pPr>
      <w:r>
        <w:rPr>
          <w:b/>
          <w:color w:val="auto"/>
        </w:rPr>
        <w:t>8.3.</w:t>
      </w:r>
      <w:bookmarkStart w:id="61" w:name="_Toc220693077"/>
      <w:r>
        <w:rPr>
          <w:b/>
          <w:color w:val="auto"/>
        </w:rPr>
        <w:t>2 Andersen v. Stability AI Ltd. and Getty Images v. Stability AI</w:t>
      </w:r>
      <w:bookmarkEnd w:id="61"/>
    </w:p>
    <w:p w14:paraId="03708747"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Three visual artists brought a variety of claims against three defendants based upon the use of over five billion images scraped and copied from the Internet and used to train defendant Stability’s Stable Diffusion image generator.</w:t>
      </w:r>
      <w:r>
        <w:rPr>
          <w:rStyle w:val="FootnoteReference"/>
        </w:rPr>
        <w:footnoteReference w:id="205"/>
      </w:r>
      <w:r>
        <w:rPr>
          <w:rFonts w:ascii="Times New Roman" w:eastAsia="Times New Roman" w:hAnsi="Times New Roman" w:cs="Times New Roman"/>
        </w:rPr>
        <w:t xml:space="preserve"> The three defendants each had an image generator product based upon Stable Diffusion. Stability’s product is called </w:t>
      </w:r>
      <w:proofErr w:type="spellStart"/>
      <w:r>
        <w:rPr>
          <w:rFonts w:ascii="Times New Roman" w:eastAsia="Times New Roman" w:hAnsi="Times New Roman" w:cs="Times New Roman"/>
        </w:rPr>
        <w:t>DreamStudio</w:t>
      </w:r>
      <w:proofErr w:type="spellEnd"/>
      <w:r>
        <w:rPr>
          <w:rFonts w:ascii="Times New Roman" w:eastAsia="Times New Roman" w:hAnsi="Times New Roman" w:cs="Times New Roman"/>
        </w:rPr>
        <w:t xml:space="preserve">, defendant DeviantArt’s product is called </w:t>
      </w:r>
      <w:proofErr w:type="spellStart"/>
      <w:r>
        <w:rPr>
          <w:rFonts w:ascii="Times New Roman" w:eastAsia="Times New Roman" w:hAnsi="Times New Roman" w:cs="Times New Roman"/>
        </w:rPr>
        <w:t>DreamUp</w:t>
      </w:r>
      <w:proofErr w:type="spellEnd"/>
      <w:r>
        <w:rPr>
          <w:rFonts w:ascii="Times New Roman" w:eastAsia="Times New Roman" w:hAnsi="Times New Roman" w:cs="Times New Roman"/>
        </w:rPr>
        <w:t>, and Midjourney’s product is called Midjourney Product. Plaintiffs’ claims include direct copyright infringement, vicarious copyright infringement, and DMCA violations.</w:t>
      </w:r>
    </w:p>
    <w:p w14:paraId="0F0268B7"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Each of the defendants made motions to dismiss the direct infringement claims of each of the plaintiffs. All were granted (with leave to amend) except Plaintiff Andersen’s claim against Stability.</w:t>
      </w:r>
      <w:r>
        <w:rPr>
          <w:rStyle w:val="FootnoteReference"/>
        </w:rPr>
        <w:footnoteReference w:id="206"/>
      </w:r>
      <w:r>
        <w:rPr>
          <w:rFonts w:ascii="Times New Roman" w:eastAsia="Times New Roman" w:hAnsi="Times New Roman" w:cs="Times New Roman"/>
        </w:rPr>
        <w:t xml:space="preserve"> The motion to dismiss the claim that defendants’ output images were all infringing derivative works was granted, but with leave for the plaintiffs to plead more clarified theories and plausible facts.</w:t>
      </w:r>
      <w:r>
        <w:rPr>
          <w:rStyle w:val="FootnoteReference"/>
        </w:rPr>
        <w:footnoteReference w:id="207"/>
      </w:r>
    </w:p>
    <w:p w14:paraId="6A77F79D"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All of the DMCA claims were also dismissed with leave to amend.</w:t>
      </w:r>
      <w:r>
        <w:rPr>
          <w:rStyle w:val="FootnoteReference"/>
        </w:rPr>
        <w:footnoteReference w:id="208"/>
      </w:r>
      <w:r>
        <w:rPr>
          <w:rFonts w:ascii="Times New Roman" w:eastAsia="Times New Roman" w:hAnsi="Times New Roman" w:cs="Times New Roman"/>
        </w:rPr>
        <w:t xml:space="preserve"> The court stated that the plaintiffs must allege more specificity with regard to what type of CMI was removed or altered; which defendants removed or altered the CMI; and when it happened.</w:t>
      </w:r>
      <w:r>
        <w:rPr>
          <w:rStyle w:val="FootnoteReference"/>
        </w:rPr>
        <w:footnoteReference w:id="209"/>
      </w:r>
    </w:p>
    <w:p w14:paraId="176338A6"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court granted defendant DeviantArt’s motion to dismiss the right of publicity claim, again with leave for plaintiffs to amend their complaint with more clarity about their theory of liability. </w:t>
      </w:r>
      <w:r>
        <w:rPr>
          <w:rFonts w:ascii="Times New Roman" w:eastAsia="Times New Roman" w:hAnsi="Times New Roman" w:cs="Times New Roman"/>
        </w:rPr>
        <w:lastRenderedPageBreak/>
        <w:t xml:space="preserve">The court discussed the </w:t>
      </w:r>
      <w:r>
        <w:rPr>
          <w:rFonts w:ascii="Times New Roman" w:eastAsia="Times New Roman" w:hAnsi="Times New Roman" w:cs="Times New Roman"/>
          <w:i/>
          <w:iCs/>
        </w:rPr>
        <w:t>Comedy III</w:t>
      </w:r>
      <w:r>
        <w:rPr>
          <w:rFonts w:ascii="Times New Roman" w:eastAsia="Times New Roman" w:hAnsi="Times New Roman" w:cs="Times New Roman"/>
        </w:rPr>
        <w:t xml:space="preserve"> case and the transformative use defense.</w:t>
      </w:r>
      <w:r>
        <w:rPr>
          <w:rStyle w:val="FootnoteReference"/>
        </w:rPr>
        <w:footnoteReference w:id="210"/>
      </w:r>
      <w:r>
        <w:rPr>
          <w:rFonts w:ascii="Times New Roman" w:eastAsia="Times New Roman" w:hAnsi="Times New Roman" w:cs="Times New Roman"/>
        </w:rPr>
        <w:t xml:space="preserve"> Plaintiffs challenged that it is not appropriate to delve into balancing tests between the First Amendment and the right of publicity at the motion to dismiss stage. The court agreed and stated that it would withhold further action until the plaintiffs amended their right of publicity claims.</w:t>
      </w:r>
      <w:r>
        <w:rPr>
          <w:rStyle w:val="FootnoteReference"/>
        </w:rPr>
        <w:footnoteReference w:id="211"/>
      </w:r>
    </w:p>
    <w:p w14:paraId="54810063" w14:textId="4A39A62C"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After additional plaintiffs and defendants were added to the case and plaintiffs filed amended complaints, the court made a second ruling in August 2024.</w:t>
      </w:r>
      <w:r>
        <w:rPr>
          <w:rStyle w:val="FootnoteReference"/>
        </w:rPr>
        <w:footnoteReference w:id="212"/>
      </w:r>
      <w:r>
        <w:rPr>
          <w:rFonts w:ascii="Times New Roman" w:eastAsia="Times New Roman" w:hAnsi="Times New Roman" w:cs="Times New Roman"/>
        </w:rPr>
        <w:t xml:space="preserve"> Basically, all of the DMCA claims were dismissed with </w:t>
      </w:r>
      <w:proofErr w:type="gramStart"/>
      <w:r>
        <w:rPr>
          <w:rFonts w:ascii="Times New Roman" w:eastAsia="Times New Roman" w:hAnsi="Times New Roman" w:cs="Times New Roman"/>
        </w:rPr>
        <w:t>prejudice</w:t>
      </w:r>
      <w:proofErr w:type="gramEnd"/>
      <w:r>
        <w:rPr>
          <w:rFonts w:ascii="Times New Roman" w:eastAsia="Times New Roman" w:hAnsi="Times New Roman" w:cs="Times New Roman"/>
        </w:rPr>
        <w:t xml:space="preserve"> and all of the copyright infringement claims will proceed.</w:t>
      </w:r>
      <w:r>
        <w:rPr>
          <w:rStyle w:val="FootnoteReference"/>
        </w:rPr>
        <w:footnoteReference w:id="213"/>
      </w:r>
    </w:p>
    <w:p w14:paraId="73F8A5C3"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A related case, </w:t>
      </w:r>
      <w:r>
        <w:rPr>
          <w:rFonts w:ascii="Times New Roman" w:eastAsia="Times New Roman" w:hAnsi="Times New Roman" w:cs="Times New Roman"/>
          <w:i/>
          <w:iCs/>
        </w:rPr>
        <w:t>Getty Images v. Stability AI</w:t>
      </w:r>
      <w:r>
        <w:rPr>
          <w:rFonts w:ascii="Times New Roman" w:eastAsia="Times New Roman" w:hAnsi="Times New Roman" w:cs="Times New Roman"/>
        </w:rPr>
        <w:t>, filed in Delaware and later refiled in the Northern District of California, narrows the claim to the direct copying of 12 million images used to train defendant’s Stable Diffusion AI model.</w:t>
      </w:r>
      <w:r>
        <w:rPr>
          <w:rStyle w:val="FootnoteReference"/>
        </w:rPr>
        <w:footnoteReference w:id="214"/>
      </w:r>
      <w:r>
        <w:rPr>
          <w:rFonts w:ascii="Times New Roman" w:eastAsia="Times New Roman" w:hAnsi="Times New Roman" w:cs="Times New Roman"/>
        </w:rPr>
        <w:t xml:space="preserve"> Getty alleges that its proprietary watermark and other distinctive features appear in AI outputs, demonstrating literal reproduction. It also asserts a trademark claim. Stability’s main defense hinges on fair use. It contends that its use of the images as training data is a transformative use, that is, extracting non-copyrightable information, like styles and patterns, to create new outputs. It analogizes this use to those involving search engine indexing or public domain archiving. Getty argues that Stability’s use is not transformative because the resulting image generator is a market substitute and directly competes with its licensing business. </w:t>
      </w:r>
    </w:p>
    <w:p w14:paraId="24FC14D7"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In October 2025, Stability moved to dismiss several of Getty’s ancillary claims. Stability’s motion began by framing the case this way: </w:t>
      </w:r>
    </w:p>
    <w:p w14:paraId="75B83E44" w14:textId="77777777" w:rsidR="00A75C8E" w:rsidRDefault="004C556B" w:rsidP="008372DB">
      <w:pPr>
        <w:spacing w:beforeAutospacing="1" w:afterAutospacing="1"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is a copyright case, raising important questions about the ways that new technological tools to aid human creativity can build on what has come before. This motion does not seek dismissal of Getty Images’ core copyright claim but instead seeks to clear the underbrush that will impede the efficient litigation of that claim. </w:t>
      </w:r>
    </w:p>
    <w:p w14:paraId="38399F74" w14:textId="77777777" w:rsidR="00A75C8E" w:rsidRDefault="004C556B" w:rsidP="008372DB">
      <w:pPr>
        <w:spacing w:beforeAutospacing="1" w:afterAutospacing="1"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Instead of focusing on its central copyright claim, Getty appends six additional causes of action (Claims II to VII) that attempt to stretch </w:t>
      </w:r>
      <w:proofErr w:type="gramStart"/>
      <w:r>
        <w:rPr>
          <w:rFonts w:ascii="Times New Roman" w:eastAsia="Times New Roman" w:hAnsi="Times New Roman" w:cs="Times New Roman"/>
        </w:rPr>
        <w:t>trademark</w:t>
      </w:r>
      <w:proofErr w:type="gramEnd"/>
      <w:r>
        <w:rPr>
          <w:rFonts w:ascii="Times New Roman" w:eastAsia="Times New Roman" w:hAnsi="Times New Roman" w:cs="Times New Roman"/>
        </w:rPr>
        <w:t xml:space="preserve">, unfair competition, and the DMCA beyond their intended bounds. Each of these ancillary claims is based on a fundamental mischaracterization of the facts and the law. They are </w:t>
      </w:r>
      <w:proofErr w:type="gramStart"/>
      <w:r>
        <w:rPr>
          <w:rFonts w:ascii="Times New Roman" w:eastAsia="Times New Roman" w:hAnsi="Times New Roman" w:cs="Times New Roman"/>
        </w:rPr>
        <w:t>predicated</w:t>
      </w:r>
      <w:proofErr w:type="gramEnd"/>
      <w:r>
        <w:rPr>
          <w:rFonts w:ascii="Times New Roman" w:eastAsia="Times New Roman" w:hAnsi="Times New Roman" w:cs="Times New Roman"/>
        </w:rPr>
        <w:t xml:space="preserve"> not on a deliberate business practice by Stability AI, but on what amount to limited one-off instances of unusable output images.</w:t>
      </w:r>
      <w:r>
        <w:rPr>
          <w:rStyle w:val="FootnoteReference"/>
        </w:rPr>
        <w:footnoteReference w:id="215"/>
      </w:r>
    </w:p>
    <w:p w14:paraId="15A6FC6F" w14:textId="765CD253"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In April 2026, the court granted the motion in part and denied it in part, dismissing Getty’s DMCA claim while allowing its trademark infringement, false designation of origin, and trademark </w:t>
      </w:r>
      <w:r>
        <w:rPr>
          <w:rFonts w:ascii="Times New Roman" w:eastAsia="Times New Roman" w:hAnsi="Times New Roman" w:cs="Times New Roman"/>
        </w:rPr>
        <w:lastRenderedPageBreak/>
        <w:t>dilution claims to proceed alongside the copyright claims.</w:t>
      </w:r>
      <w:r>
        <w:rPr>
          <w:rStyle w:val="FootnoteReference"/>
        </w:rPr>
        <w:footnoteReference w:id="216"/>
      </w:r>
      <w:r>
        <w:rPr>
          <w:rFonts w:ascii="Times New Roman" w:eastAsia="Times New Roman" w:hAnsi="Times New Roman" w:cs="Times New Roman"/>
        </w:rPr>
        <w:t xml:space="preserve"> This is another of the major pending cases to keep an eye on.</w:t>
      </w:r>
    </w:p>
    <w:p w14:paraId="422EF941"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A related case, </w:t>
      </w:r>
      <w:r>
        <w:rPr>
          <w:rFonts w:ascii="Times New Roman" w:hAnsi="Times New Roman"/>
        </w:rPr>
        <w:t>Getty Images v. Stability AI</w:t>
      </w:r>
      <w:r>
        <w:rPr>
          <w:rFonts w:ascii="Times New Roman" w:eastAsia="Times New Roman" w:hAnsi="Times New Roman" w:cs="Times New Roman"/>
        </w:rPr>
        <w:t>, was recently decided by the High Court of England and Wales.</w:t>
      </w:r>
      <w:r>
        <w:rPr>
          <w:rStyle w:val="FootnoteReference"/>
        </w:rPr>
        <w:footnoteReference w:id="217"/>
      </w:r>
      <w:r>
        <w:rPr>
          <w:rFonts w:ascii="Times New Roman" w:eastAsia="Times New Roman" w:hAnsi="Times New Roman" w:cs="Times New Roman"/>
        </w:rPr>
        <w:t xml:space="preserve"> Prior to closing submissions, Getty had to abandon most of its copyright claims because there was little evidence that the training and development of Stable Diffusion took place in the UK. However, the court did rule in favor of Getty on some trademark claims because of Getty’s watermarks that were found in some output from an earlier version of the model.</w:t>
      </w:r>
      <w:r>
        <w:rPr>
          <w:rStyle w:val="FootnoteReference"/>
        </w:rPr>
        <w:footnoteReference w:id="218"/>
      </w:r>
    </w:p>
    <w:p w14:paraId="1F1CFEAB" w14:textId="77777777" w:rsidR="00A75C8E" w:rsidRDefault="004C556B" w:rsidP="008372DB">
      <w:pPr>
        <w:pStyle w:val="Heading4"/>
        <w:jc w:val="both"/>
        <w:rPr>
          <w:color w:val="auto"/>
        </w:rPr>
      </w:pPr>
      <w:r>
        <w:rPr>
          <w:b/>
          <w:color w:val="auto"/>
        </w:rPr>
        <w:t>8.</w:t>
      </w:r>
      <w:bookmarkStart w:id="62" w:name="_Toc220693078"/>
      <w:r>
        <w:rPr>
          <w:b/>
          <w:color w:val="auto"/>
        </w:rPr>
        <w:t>3.3 Bartz v. Anthropic PBC</w:t>
      </w:r>
      <w:bookmarkEnd w:id="62"/>
    </w:p>
    <w:p w14:paraId="3662A79C" w14:textId="77457EE0"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In one of the most significant generative AI cases to be decided, there was a major victory for AI companies</w:t>
      </w:r>
      <w:r w:rsidR="00010DB5">
        <w:rPr>
          <w:rFonts w:ascii="Times New Roman" w:eastAsia="Times New Roman" w:hAnsi="Times New Roman" w:cs="Times New Roman"/>
        </w:rPr>
        <w:t xml:space="preserve">, </w:t>
      </w:r>
      <w:r>
        <w:rPr>
          <w:rFonts w:ascii="Times New Roman" w:eastAsia="Times New Roman" w:hAnsi="Times New Roman" w:cs="Times New Roman"/>
        </w:rPr>
        <w:t xml:space="preserve">but with a significant proviso. In </w:t>
      </w:r>
      <w:r>
        <w:rPr>
          <w:rFonts w:ascii="Times New Roman" w:eastAsia="Times New Roman" w:hAnsi="Times New Roman" w:cs="Times New Roman"/>
          <w:i/>
          <w:iCs/>
        </w:rPr>
        <w:t>Bartz v. Anthropic PBC</w:t>
      </w:r>
      <w:r>
        <w:rPr>
          <w:rFonts w:ascii="Times New Roman" w:eastAsia="Times New Roman" w:hAnsi="Times New Roman" w:cs="Times New Roman"/>
        </w:rPr>
        <w:t>,</w:t>
      </w:r>
      <w:r>
        <w:rPr>
          <w:rStyle w:val="FootnoteReference"/>
        </w:rPr>
        <w:footnoteReference w:id="219"/>
      </w:r>
      <w:r>
        <w:rPr>
          <w:rFonts w:ascii="Times New Roman" w:eastAsia="Times New Roman" w:hAnsi="Times New Roman" w:cs="Times New Roman"/>
        </w:rPr>
        <w:t xml:space="preserve"> the court issued a resounding summary judgment on fair use in favor of the defendant. In order to train its AI software tool, Claude, Anthropic spent millions of dollars to acquire millions of books. It cut the pages of the books into scannable images and discarded the books. Training sets were carefully curated, pages were cleaned, tokens were generated and processed. In the end, there was nothing traceable to the authors’ works. The court granted summary judgment to Anthropic holding that its use of the books to train Claude “was exceedingly transformative and was a fair use.”</w:t>
      </w:r>
      <w:r>
        <w:rPr>
          <w:rStyle w:val="FootnoteReference"/>
        </w:rPr>
        <w:footnoteReference w:id="220"/>
      </w:r>
      <w:r>
        <w:rPr>
          <w:rFonts w:ascii="Times New Roman" w:eastAsia="Times New Roman" w:hAnsi="Times New Roman" w:cs="Times New Roman"/>
        </w:rPr>
        <w:t xml:space="preserve"> It further held that it was also fair use for Anthropic “to replace the print copies it had purchased . . . with more convenient space-saving and searchable digital copies for its central library.”</w:t>
      </w:r>
      <w:r>
        <w:rPr>
          <w:rStyle w:val="FootnoteReference"/>
        </w:rPr>
        <w:footnoteReference w:id="221"/>
      </w:r>
    </w:p>
    <w:p w14:paraId="01C4DC13"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After a thorough examination of the four fair use factors, the court held that the copies used to train the AI were justified as fair use, with all but the second factor favoring that result.</w:t>
      </w:r>
      <w:r>
        <w:rPr>
          <w:rStyle w:val="FootnoteReference"/>
        </w:rPr>
        <w:footnoteReference w:id="222"/>
      </w:r>
      <w:r>
        <w:rPr>
          <w:rFonts w:ascii="Times New Roman" w:eastAsia="Times New Roman" w:hAnsi="Times New Roman" w:cs="Times New Roman"/>
        </w:rPr>
        <w:t xml:space="preserve"> The court stated that the “technology at issue was among the most transformative many of us will see in our lifetimes.”</w:t>
      </w:r>
      <w:r>
        <w:rPr>
          <w:rStyle w:val="FootnoteReference"/>
        </w:rPr>
        <w:footnoteReference w:id="223"/>
      </w:r>
      <w:r>
        <w:rPr>
          <w:rFonts w:ascii="Times New Roman" w:eastAsia="Times New Roman" w:hAnsi="Times New Roman" w:cs="Times New Roman"/>
        </w:rPr>
        <w:t xml:space="preserve"> The court held that the copies used to convert the purchased print library into a digital library was also a fair use, favored by factors one and three.</w:t>
      </w:r>
      <w:r>
        <w:rPr>
          <w:rStyle w:val="FootnoteReference"/>
        </w:rPr>
        <w:footnoteReference w:id="224"/>
      </w:r>
    </w:p>
    <w:p w14:paraId="783B748E"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However, in a decision with severe ramifications, the court denied summary judgment with respect to the seven million pirated copies of books and ordered a trial on the pirated copies “and the resulting damages, actual or statutory (including for willfulness).”</w:t>
      </w:r>
      <w:r>
        <w:rPr>
          <w:rStyle w:val="FootnoteReference"/>
        </w:rPr>
        <w:footnoteReference w:id="225"/>
      </w:r>
      <w:r>
        <w:rPr>
          <w:rFonts w:ascii="Times New Roman" w:eastAsia="Times New Roman" w:hAnsi="Times New Roman" w:cs="Times New Roman"/>
        </w:rPr>
        <w:t xml:space="preserve"> Before the trial, the parties proposed a class action settlement of $1.5 billion, in effect $3,000 for each infringed work. In </w:t>
      </w:r>
      <w:r>
        <w:rPr>
          <w:rFonts w:ascii="Times New Roman" w:eastAsia="Times New Roman" w:hAnsi="Times New Roman" w:cs="Times New Roman"/>
        </w:rPr>
        <w:lastRenderedPageBreak/>
        <w:t>October 2025, the court gave preliminary approval to the settlement,</w:t>
      </w:r>
      <w:r>
        <w:rPr>
          <w:rStyle w:val="FootnoteReference"/>
        </w:rPr>
        <w:footnoteReference w:id="226"/>
      </w:r>
      <w:r>
        <w:rPr>
          <w:rFonts w:ascii="Times New Roman" w:eastAsia="Times New Roman" w:hAnsi="Times New Roman" w:cs="Times New Roman"/>
        </w:rPr>
        <w:t xml:space="preserve"> the largest resolution of a copyright case in U.S. history.</w:t>
      </w:r>
    </w:p>
    <w:p w14:paraId="1BF35983"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Among the several significant ramifications of the case: 1) it is a strong decision that training on copyrighted works is likely a fair use; 2) it is a strong indictment against the use of pirated works; 3) it may set a floor for such copyright violations ($3,000 per work); 4) it illustrates the existential risk for all but the largest companies; and 5) it marks a strong push towards the creation of a licensing market for works used in AI training.</w:t>
      </w:r>
    </w:p>
    <w:p w14:paraId="61BDAC9D" w14:textId="77777777" w:rsidR="00A75C8E" w:rsidRDefault="004C556B" w:rsidP="008372DB">
      <w:pPr>
        <w:pStyle w:val="Heading4"/>
        <w:spacing w:before="0" w:after="0" w:line="240" w:lineRule="auto"/>
        <w:jc w:val="both"/>
        <w:rPr>
          <w:color w:val="auto"/>
        </w:rPr>
      </w:pPr>
      <w:r>
        <w:rPr>
          <w:b/>
          <w:color w:val="auto"/>
        </w:rPr>
        <w:t>8.3.</w:t>
      </w:r>
      <w:bookmarkStart w:id="63" w:name="_Toc220693079"/>
      <w:r>
        <w:rPr>
          <w:b/>
          <w:color w:val="auto"/>
        </w:rPr>
        <w:t xml:space="preserve">4 </w:t>
      </w:r>
      <w:proofErr w:type="spellStart"/>
      <w:r>
        <w:rPr>
          <w:b/>
          <w:color w:val="auto"/>
        </w:rPr>
        <w:t>Kadrey</w:t>
      </w:r>
      <w:proofErr w:type="spellEnd"/>
      <w:r>
        <w:rPr>
          <w:b/>
          <w:color w:val="auto"/>
        </w:rPr>
        <w:t xml:space="preserve"> v. Meta</w:t>
      </w:r>
      <w:bookmarkEnd w:id="63"/>
    </w:p>
    <w:p w14:paraId="4493DB73" w14:textId="77777777" w:rsidR="00A75C8E" w:rsidRDefault="00A75C8E" w:rsidP="008372DB">
      <w:pPr>
        <w:jc w:val="both"/>
        <w:rPr>
          <w:rFonts w:ascii="Times New Roman" w:eastAsia="Times New Roman" w:hAnsi="Times New Roman" w:cs="Times New Roman"/>
        </w:rPr>
      </w:pPr>
    </w:p>
    <w:p w14:paraId="7756B180" w14:textId="77777777" w:rsidR="00A75C8E" w:rsidRDefault="004C556B" w:rsidP="008372D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 another decision in favor of companies training generative AI products with massive amounts of copyrighted works, </w:t>
      </w:r>
      <w:proofErr w:type="spellStart"/>
      <w:r>
        <w:rPr>
          <w:rFonts w:ascii="Times New Roman" w:eastAsia="Times New Roman" w:hAnsi="Times New Roman" w:cs="Times New Roman"/>
          <w:i/>
          <w:iCs/>
        </w:rPr>
        <w:t>Kadrey</w:t>
      </w:r>
      <w:proofErr w:type="spellEnd"/>
      <w:r>
        <w:rPr>
          <w:rFonts w:ascii="Times New Roman" w:eastAsia="Times New Roman" w:hAnsi="Times New Roman" w:cs="Times New Roman"/>
          <w:i/>
          <w:iCs/>
        </w:rPr>
        <w:t xml:space="preserve"> v. Meta Platforms, Inc.</w:t>
      </w:r>
      <w:r>
        <w:rPr>
          <w:rFonts w:ascii="Times New Roman" w:eastAsia="Times New Roman" w:hAnsi="Times New Roman" w:cs="Times New Roman"/>
        </w:rPr>
        <w:t>, the court granted defendant’s motion for summary judgment on the issue of whether defendant’s copying of plaintiffs’ works from “shadow libraries” and without their permission was a fair use.</w:t>
      </w:r>
      <w:r>
        <w:rPr>
          <w:rStyle w:val="FootnoteReference"/>
        </w:rPr>
        <w:footnoteReference w:id="227"/>
      </w:r>
      <w:r>
        <w:rPr>
          <w:rFonts w:ascii="Times New Roman" w:eastAsia="Times New Roman" w:hAnsi="Times New Roman" w:cs="Times New Roman"/>
        </w:rPr>
        <w:t xml:space="preserve"> The court seemed somewhat reluctant to find for defendant: </w:t>
      </w:r>
    </w:p>
    <w:p w14:paraId="53E47CD3" w14:textId="77777777" w:rsidR="00A75C8E" w:rsidRDefault="00A75C8E" w:rsidP="008372DB">
      <w:pPr>
        <w:spacing w:after="0" w:line="240" w:lineRule="auto"/>
        <w:jc w:val="both"/>
        <w:rPr>
          <w:rFonts w:ascii="Times New Roman" w:eastAsia="Times New Roman" w:hAnsi="Times New Roman" w:cs="Times New Roman"/>
        </w:rPr>
      </w:pPr>
    </w:p>
    <w:p w14:paraId="7F95981E" w14:textId="77777777" w:rsidR="00A75C8E" w:rsidRDefault="004C556B" w:rsidP="008372DB">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Given the state of the record, the Court has no choice but to grant summary judgment to Meta on the plaintiffs’ claim that the company violated copyright law by training its models with their books. But in the grand scheme of things, the consequences of this </w:t>
      </w:r>
      <w:proofErr w:type="gramStart"/>
      <w:r>
        <w:rPr>
          <w:rFonts w:ascii="Times New Roman" w:eastAsia="Times New Roman" w:hAnsi="Times New Roman" w:cs="Times New Roman"/>
        </w:rPr>
        <w:t>ruling</w:t>
      </w:r>
      <w:proofErr w:type="gramEnd"/>
      <w:r>
        <w:rPr>
          <w:rFonts w:ascii="Times New Roman" w:eastAsia="Times New Roman" w:hAnsi="Times New Roman" w:cs="Times New Roman"/>
        </w:rPr>
        <w:t xml:space="preserve"> are limited. This is not a class action, so the ruling only affects the rights of these thirteen </w:t>
      </w:r>
      <w:proofErr w:type="gramStart"/>
      <w:r>
        <w:rPr>
          <w:rFonts w:ascii="Times New Roman" w:eastAsia="Times New Roman" w:hAnsi="Times New Roman" w:cs="Times New Roman"/>
        </w:rPr>
        <w:t>authors—</w:t>
      </w:r>
      <w:proofErr w:type="gramEnd"/>
      <w:r>
        <w:rPr>
          <w:rFonts w:ascii="Times New Roman" w:eastAsia="Times New Roman" w:hAnsi="Times New Roman" w:cs="Times New Roman"/>
        </w:rPr>
        <w:t xml:space="preserve">not the countless others whose works Meta used to train its models. </w:t>
      </w: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as should now be clear, this ruling does not stand for the proposition that Meta’s use of copyrighted materials to train its language models is lawful. It stands only for the proposition that these plaintiffs made the wrong arguments and failed to develop a record in support of the right one.</w:t>
      </w:r>
      <w:r>
        <w:rPr>
          <w:rStyle w:val="FootnoteReference"/>
        </w:rPr>
        <w:footnoteReference w:id="228"/>
      </w:r>
    </w:p>
    <w:p w14:paraId="28F9C590" w14:textId="77777777" w:rsidR="00A75C8E" w:rsidRDefault="00A75C8E" w:rsidP="008372DB">
      <w:pPr>
        <w:spacing w:after="0" w:line="240" w:lineRule="auto"/>
        <w:jc w:val="both"/>
        <w:rPr>
          <w:rFonts w:ascii="Times New Roman" w:eastAsia="Times New Roman" w:hAnsi="Times New Roman" w:cs="Times New Roman"/>
        </w:rPr>
      </w:pPr>
    </w:p>
    <w:p w14:paraId="111CF929" w14:textId="77777777" w:rsidR="00A75C8E" w:rsidRDefault="004C556B" w:rsidP="008372D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 examining fair use factor one, the court rejected plaintiffs’ argument that because defendant downloaded books from shadow libraries rather than obtain an “authorized copy,” they should automatically win.</w:t>
      </w:r>
      <w:r>
        <w:rPr>
          <w:rStyle w:val="FootnoteReference"/>
        </w:rPr>
        <w:footnoteReference w:id="229"/>
      </w:r>
      <w:r>
        <w:rPr>
          <w:rFonts w:ascii="Times New Roman" w:eastAsia="Times New Roman" w:hAnsi="Times New Roman" w:cs="Times New Roman"/>
        </w:rPr>
        <w:t xml:space="preserve"> The court stated that to deem defendant’s act as “piracy” and eliminate a fair use claim would beg the question, because the whole point of fair use analysis is to determine whether a given act of copying was unlawful.</w:t>
      </w:r>
      <w:r>
        <w:rPr>
          <w:rStyle w:val="FootnoteReference"/>
        </w:rPr>
        <w:footnoteReference w:id="230"/>
      </w:r>
      <w:r>
        <w:rPr>
          <w:rFonts w:ascii="Times New Roman" w:eastAsia="Times New Roman" w:hAnsi="Times New Roman" w:cs="Times New Roman"/>
        </w:rPr>
        <w:t xml:space="preserve"> The court held that downloading must still be considered in light of its ultimate purpose, the training of Llama, defendant’s AI tool.</w:t>
      </w:r>
      <w:r>
        <w:rPr>
          <w:rStyle w:val="FootnoteReference"/>
        </w:rPr>
        <w:footnoteReference w:id="231"/>
      </w:r>
      <w:r>
        <w:rPr>
          <w:rFonts w:ascii="Times New Roman" w:eastAsia="Times New Roman" w:hAnsi="Times New Roman" w:cs="Times New Roman"/>
        </w:rPr>
        <w:t xml:space="preserve"> Because defendant’s ultimate use of the downloaded books was transformative, so was the downloading. The court found factor two in plaintiff’s favor, but factor three in defendant’s favor because there would be no point in training a model </w:t>
      </w:r>
      <w:proofErr w:type="gramStart"/>
      <w:r>
        <w:rPr>
          <w:rFonts w:ascii="Times New Roman" w:eastAsia="Times New Roman" w:hAnsi="Times New Roman" w:cs="Times New Roman"/>
        </w:rPr>
        <w:t>on</w:t>
      </w:r>
      <w:proofErr w:type="gramEnd"/>
      <w:r>
        <w:rPr>
          <w:rFonts w:ascii="Times New Roman" w:eastAsia="Times New Roman" w:hAnsi="Times New Roman" w:cs="Times New Roman"/>
        </w:rPr>
        <w:t xml:space="preserve"> less than a whole book.</w:t>
      </w:r>
      <w:r>
        <w:rPr>
          <w:rStyle w:val="FootnoteReference"/>
        </w:rPr>
        <w:footnoteReference w:id="232"/>
      </w:r>
    </w:p>
    <w:p w14:paraId="1F8F5730" w14:textId="77777777" w:rsidR="00A75C8E" w:rsidRDefault="00A75C8E" w:rsidP="008372DB">
      <w:pPr>
        <w:spacing w:after="0" w:line="240" w:lineRule="auto"/>
        <w:jc w:val="both"/>
        <w:rPr>
          <w:rFonts w:ascii="Times New Roman" w:eastAsia="Times New Roman" w:hAnsi="Times New Roman" w:cs="Times New Roman"/>
        </w:rPr>
      </w:pPr>
    </w:p>
    <w:p w14:paraId="5910963E" w14:textId="77777777" w:rsidR="00A75C8E" w:rsidRDefault="004C556B" w:rsidP="008372D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The court also found factor four in favor of defendant because plaintiffs’ “primary theory of market harm is that Meta’s unauthorized use of their books for LLM training harms the market for licensing their book for that purpose.”</w:t>
      </w:r>
      <w:r>
        <w:rPr>
          <w:rStyle w:val="FootnoteReference"/>
        </w:rPr>
        <w:footnoteReference w:id="233"/>
      </w:r>
      <w:r>
        <w:rPr>
          <w:rFonts w:ascii="Times New Roman" w:eastAsia="Times New Roman" w:hAnsi="Times New Roman" w:cs="Times New Roman"/>
        </w:rPr>
        <w:t xml:space="preserve"> The court stated that whether that market exists or develops is irrelevant and in order to prevent this type of circular argument from favoring the plaintiff in every case, it held that “harm from the loss of fees paid to license a work for a transformative purpose is not cognizable.”</w:t>
      </w:r>
      <w:r>
        <w:rPr>
          <w:rStyle w:val="FootnoteReference"/>
        </w:rPr>
        <w:footnoteReference w:id="234"/>
      </w:r>
      <w:r>
        <w:rPr>
          <w:rFonts w:ascii="Times New Roman" w:eastAsia="Times New Roman" w:hAnsi="Times New Roman" w:cs="Times New Roman"/>
        </w:rPr>
        <w:t xml:space="preserve"> Because Meta’s use of these works is highly transformative, the plaintiff would have needed a strong showing on factor four to prevent a summary judgment for fair use. It failed to do so, and the court granted summary judgment on fair use to defendant.</w:t>
      </w:r>
      <w:r>
        <w:rPr>
          <w:rStyle w:val="FootnoteReference"/>
        </w:rPr>
        <w:footnoteReference w:id="235"/>
      </w:r>
      <w:r>
        <w:rPr>
          <w:rFonts w:ascii="Times New Roman" w:eastAsia="Times New Roman" w:hAnsi="Times New Roman" w:cs="Times New Roman"/>
        </w:rPr>
        <w:t xml:space="preserve"> The court noted that it would also be granting a motion for summary judgment to Meta on </w:t>
      </w:r>
      <w:proofErr w:type="gramStart"/>
      <w:r>
        <w:rPr>
          <w:rFonts w:ascii="Times New Roman" w:eastAsia="Times New Roman" w:hAnsi="Times New Roman" w:cs="Times New Roman"/>
        </w:rPr>
        <w:t>plaintiffs’</w:t>
      </w:r>
      <w:proofErr w:type="gramEnd"/>
      <w:r>
        <w:rPr>
          <w:rFonts w:ascii="Times New Roman" w:eastAsia="Times New Roman" w:hAnsi="Times New Roman" w:cs="Times New Roman"/>
        </w:rPr>
        <w:t xml:space="preserve"> DMCA claims.</w:t>
      </w:r>
      <w:r>
        <w:rPr>
          <w:rStyle w:val="FootnoteReference"/>
        </w:rPr>
        <w:footnoteReference w:id="236"/>
      </w:r>
    </w:p>
    <w:p w14:paraId="6C609F23" w14:textId="77777777" w:rsidR="00A75C8E" w:rsidRDefault="00A75C8E" w:rsidP="008372DB">
      <w:pPr>
        <w:jc w:val="both"/>
      </w:pPr>
    </w:p>
    <w:p w14:paraId="51C60104" w14:textId="77777777" w:rsidR="00A75C8E" w:rsidRDefault="004C556B" w:rsidP="008372DB">
      <w:pPr>
        <w:pStyle w:val="Heading4"/>
        <w:jc w:val="both"/>
        <w:rPr>
          <w:color w:val="auto"/>
        </w:rPr>
      </w:pPr>
      <w:r>
        <w:rPr>
          <w:b/>
          <w:color w:val="auto"/>
        </w:rPr>
        <w:t>8.3.</w:t>
      </w:r>
      <w:bookmarkStart w:id="64" w:name="_Toc220693080"/>
      <w:r>
        <w:rPr>
          <w:b/>
          <w:color w:val="auto"/>
        </w:rPr>
        <w:t>5 Concord Music v. Anthropic</w:t>
      </w:r>
      <w:bookmarkEnd w:id="64"/>
    </w:p>
    <w:p w14:paraId="3421E7AC" w14:textId="77777777" w:rsidR="00A75C8E" w:rsidRDefault="00A75C8E" w:rsidP="008372DB">
      <w:pPr>
        <w:jc w:val="both"/>
        <w:rPr>
          <w:rFonts w:ascii="Times New Roman" w:hAnsi="Times New Roman" w:cs="Times New Roman"/>
        </w:rPr>
      </w:pPr>
    </w:p>
    <w:p w14:paraId="13C17692" w14:textId="20A8D063" w:rsidR="00A75C8E" w:rsidRDefault="004C556B" w:rsidP="008372DB">
      <w:pPr>
        <w:spacing w:after="0"/>
        <w:jc w:val="both"/>
        <w:rPr>
          <w:rFonts w:ascii="Times New Roman" w:hAnsi="Times New Roman" w:cs="Times New Roman"/>
        </w:rPr>
      </w:pPr>
      <w:r>
        <w:rPr>
          <w:rFonts w:ascii="Times New Roman" w:hAnsi="Times New Roman" w:cs="Times New Roman"/>
        </w:rPr>
        <w:t xml:space="preserve">Eight music publishers, owning exclusive rights to millions of musical compositions, sued Anthropic for a variety of claims related to the training of </w:t>
      </w:r>
      <w:proofErr w:type="spellStart"/>
      <w:r>
        <w:rPr>
          <w:rFonts w:ascii="Times New Roman" w:hAnsi="Times New Roman" w:cs="Times New Roman"/>
        </w:rPr>
        <w:t>Anthropic’s</w:t>
      </w:r>
      <w:proofErr w:type="spellEnd"/>
      <w:r>
        <w:rPr>
          <w:rFonts w:ascii="Times New Roman" w:hAnsi="Times New Roman" w:cs="Times New Roman"/>
        </w:rPr>
        <w:t xml:space="preserve"> general purpose AI tool, Claude.</w:t>
      </w:r>
      <w:r>
        <w:rPr>
          <w:rStyle w:val="FootnoteReference"/>
        </w:rPr>
        <w:footnoteReference w:id="237"/>
      </w:r>
      <w:r>
        <w:rPr>
          <w:rFonts w:ascii="Times New Roman" w:hAnsi="Times New Roman" w:cs="Times New Roman"/>
        </w:rPr>
        <w:t xml:space="preserve"> Plaintiffs identified 500 songs that were used to train Claude without their permission. They allege copyright infringement based on both the use of the works as training input for Claude and on the output generated by Claude. The case also contains claims under the DMCA. Anthropic does not deny that the 500 songs were part of the training material, as “they are commonly found all across the Internet.”</w:t>
      </w:r>
      <w:r>
        <w:rPr>
          <w:rStyle w:val="FootnoteReference"/>
        </w:rPr>
        <w:footnoteReference w:id="238"/>
      </w:r>
      <w:r>
        <w:rPr>
          <w:rFonts w:ascii="Times New Roman" w:hAnsi="Times New Roman" w:cs="Times New Roman"/>
        </w:rPr>
        <w:t xml:space="preserve"> This case comes close to the scenario outlined in my “Band Hero on Steroids” hypothetical.</w:t>
      </w:r>
      <w:r>
        <w:rPr>
          <w:rStyle w:val="FootnoteReference"/>
        </w:rPr>
        <w:footnoteReference w:id="239"/>
      </w:r>
    </w:p>
    <w:p w14:paraId="554E0309" w14:textId="77777777" w:rsidR="00010DB5" w:rsidRDefault="00010DB5" w:rsidP="008372DB">
      <w:pPr>
        <w:spacing w:after="0"/>
        <w:jc w:val="both"/>
        <w:rPr>
          <w:rFonts w:ascii="Times New Roman" w:hAnsi="Times New Roman" w:cs="Times New Roman"/>
        </w:rPr>
      </w:pPr>
    </w:p>
    <w:p w14:paraId="7FEE84A5" w14:textId="77777777" w:rsidR="00A75C8E" w:rsidRDefault="004C556B" w:rsidP="008372DB">
      <w:pPr>
        <w:spacing w:after="0"/>
        <w:jc w:val="both"/>
        <w:rPr>
          <w:rFonts w:ascii="Times New Roman" w:hAnsi="Times New Roman" w:cs="Times New Roman"/>
        </w:rPr>
      </w:pPr>
      <w:r>
        <w:rPr>
          <w:rFonts w:ascii="Times New Roman" w:hAnsi="Times New Roman" w:cs="Times New Roman"/>
        </w:rPr>
        <w:t>This decision, however, deals only with plaintiffs’ request for a preliminary injunction.</w:t>
      </w:r>
      <w:r>
        <w:rPr>
          <w:rStyle w:val="FootnoteReference"/>
        </w:rPr>
        <w:footnoteReference w:id="240"/>
      </w:r>
      <w:r>
        <w:rPr>
          <w:rFonts w:ascii="Times New Roman" w:hAnsi="Times New Roman" w:cs="Times New Roman"/>
        </w:rPr>
        <w:t xml:space="preserve"> The court focused primarily on market-related harm in deciding that there was no showing of irreparable harm, as required for injunctive relief.</w:t>
      </w:r>
      <w:r>
        <w:rPr>
          <w:rStyle w:val="FootnoteReference"/>
        </w:rPr>
        <w:footnoteReference w:id="241"/>
      </w:r>
      <w:r>
        <w:rPr>
          <w:rFonts w:ascii="Times New Roman" w:hAnsi="Times New Roman" w:cs="Times New Roman"/>
        </w:rPr>
        <w:t xml:space="preserve"> The court stated that the plaintiffs’ biggest argument centered upon potential loss of value of the songs in future negotiations for licensing deals.</w:t>
      </w:r>
      <w:r>
        <w:rPr>
          <w:rStyle w:val="FootnoteReference"/>
        </w:rPr>
        <w:footnoteReference w:id="242"/>
      </w:r>
      <w:r>
        <w:rPr>
          <w:rFonts w:ascii="Times New Roman" w:hAnsi="Times New Roman" w:cs="Times New Roman"/>
        </w:rPr>
        <w:t xml:space="preserve"> The court held that plaintiffs had not identified any lost licensing deals or any loss of value in the songs, and that even if they had, there was nothing to indicate that those losses could not be compensated through money damages.</w:t>
      </w:r>
      <w:r>
        <w:rPr>
          <w:rStyle w:val="FootnoteReference"/>
        </w:rPr>
        <w:footnoteReference w:id="243"/>
      </w:r>
    </w:p>
    <w:p w14:paraId="5C9A6AAF" w14:textId="77777777" w:rsidR="00010DB5" w:rsidRDefault="00010DB5" w:rsidP="008372DB">
      <w:pPr>
        <w:spacing w:after="0"/>
        <w:jc w:val="both"/>
        <w:rPr>
          <w:rFonts w:ascii="Times New Roman" w:hAnsi="Times New Roman" w:cs="Times New Roman"/>
        </w:rPr>
      </w:pPr>
    </w:p>
    <w:p w14:paraId="7C63A453" w14:textId="5C5F953C" w:rsidR="00A75C8E" w:rsidRDefault="004C556B" w:rsidP="008372DB">
      <w:pPr>
        <w:spacing w:after="0"/>
        <w:jc w:val="both"/>
        <w:rPr>
          <w:rFonts w:ascii="Times New Roman" w:hAnsi="Times New Roman" w:cs="Times New Roman"/>
        </w:rPr>
      </w:pPr>
      <w:r>
        <w:rPr>
          <w:rFonts w:ascii="Times New Roman" w:hAnsi="Times New Roman" w:cs="Times New Roman"/>
        </w:rPr>
        <w:t xml:space="preserve">Significantly, the court noted that “it is an open question whether training generative AI models with copyrighted material </w:t>
      </w:r>
      <w:proofErr w:type="gramStart"/>
      <w:r>
        <w:rPr>
          <w:rFonts w:ascii="Times New Roman" w:hAnsi="Times New Roman" w:cs="Times New Roman"/>
        </w:rPr>
        <w:t>is infringement or fair use</w:t>
      </w:r>
      <w:proofErr w:type="gramEnd"/>
      <w:r>
        <w:rPr>
          <w:rFonts w:ascii="Times New Roman" w:hAnsi="Times New Roman" w:cs="Times New Roman"/>
        </w:rPr>
        <w:t>. By seeking a preliminary injunction, [Plaintiffs] are essentially asking the court to define the contours of a licensing market for AI training where the threshold question of fair use remains unsettled.”</w:t>
      </w:r>
      <w:r>
        <w:rPr>
          <w:rStyle w:val="FootnoteReference"/>
        </w:rPr>
        <w:footnoteReference w:id="244"/>
      </w:r>
      <w:r>
        <w:rPr>
          <w:rFonts w:ascii="Times New Roman" w:hAnsi="Times New Roman" w:cs="Times New Roman"/>
        </w:rPr>
        <w:t xml:space="preserve"> Furthermore, the court stated that it would not grant injunctive relief “based on legal rights (here, licensing rights) that have not yet been established,”</w:t>
      </w:r>
      <w:r>
        <w:rPr>
          <w:rStyle w:val="FootnoteReference"/>
        </w:rPr>
        <w:footnoteReference w:id="245"/>
      </w:r>
      <w:r>
        <w:rPr>
          <w:rFonts w:ascii="Times New Roman" w:hAnsi="Times New Roman" w:cs="Times New Roman"/>
        </w:rPr>
        <w:t xml:space="preserve"> and because to do so would “imply automatic entitlement to injunctive relief in all copyright cases, a premise that the Ninth Circuit has rejected.”</w:t>
      </w:r>
      <w:r>
        <w:rPr>
          <w:rStyle w:val="FootnoteReference"/>
        </w:rPr>
        <w:footnoteReference w:id="246"/>
      </w:r>
    </w:p>
    <w:p w14:paraId="15A4040F" w14:textId="77777777" w:rsidR="00A75C8E" w:rsidRDefault="004C556B" w:rsidP="008372DB">
      <w:pPr>
        <w:pStyle w:val="Heading4"/>
        <w:jc w:val="both"/>
        <w:rPr>
          <w:color w:val="auto"/>
        </w:rPr>
      </w:pPr>
      <w:r>
        <w:rPr>
          <w:b/>
          <w:color w:val="auto"/>
        </w:rPr>
        <w:t>8.3.</w:t>
      </w:r>
      <w:bookmarkStart w:id="65" w:name="_Toc220693081"/>
      <w:r>
        <w:rPr>
          <w:b/>
          <w:color w:val="auto"/>
        </w:rPr>
        <w:t>6 New York Times Co. v. Microsoft; OpenAI and the Consolidated Cases</w:t>
      </w:r>
      <w:bookmarkEnd w:id="65"/>
    </w:p>
    <w:p w14:paraId="503C6952"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most important ongoing generative AI litigation is the thrice-consolidated cases involving OpenAI and other defendants. In November 2023, the Northern District of California consolidated two cases, </w:t>
      </w:r>
      <w:r>
        <w:rPr>
          <w:rFonts w:ascii="Times New Roman" w:eastAsia="Times New Roman" w:hAnsi="Times New Roman" w:cs="Times New Roman"/>
          <w:i/>
        </w:rPr>
        <w:t>Tremblay v. OpenAI, Inc</w:t>
      </w:r>
      <w:r>
        <w:rPr>
          <w:rFonts w:ascii="Times New Roman" w:eastAsia="Times New Roman" w:hAnsi="Times New Roman" w:cs="Times New Roman"/>
        </w:rPr>
        <w:t>.</w:t>
      </w:r>
      <w:r>
        <w:rPr>
          <w:rStyle w:val="FootnoteReference"/>
        </w:rPr>
        <w:footnoteReference w:id="247"/>
      </w:r>
      <w:r>
        <w:rPr>
          <w:rFonts w:ascii="Times New Roman" w:eastAsia="Times New Roman" w:hAnsi="Times New Roman" w:cs="Times New Roman"/>
        </w:rPr>
        <w:t xml:space="preserve"> and </w:t>
      </w:r>
      <w:r>
        <w:rPr>
          <w:rFonts w:ascii="Times New Roman" w:eastAsia="Times New Roman" w:hAnsi="Times New Roman" w:cs="Times New Roman"/>
          <w:i/>
        </w:rPr>
        <w:t>Chabon v. OpenAI, Inc</w:t>
      </w:r>
      <w:r>
        <w:rPr>
          <w:rFonts w:ascii="Times New Roman" w:eastAsia="Times New Roman" w:hAnsi="Times New Roman" w:cs="Times New Roman"/>
        </w:rPr>
        <w:t>.,</w:t>
      </w:r>
      <w:r>
        <w:rPr>
          <w:rStyle w:val="FootnoteReference"/>
        </w:rPr>
        <w:footnoteReference w:id="248"/>
      </w:r>
      <w:r>
        <w:rPr>
          <w:rFonts w:ascii="Times New Roman" w:eastAsia="Times New Roman" w:hAnsi="Times New Roman" w:cs="Times New Roman"/>
        </w:rPr>
        <w:t xml:space="preserve"> because of the similarity of the issues involved. In February 2024, the court added another case, </w:t>
      </w:r>
      <w:r>
        <w:rPr>
          <w:rFonts w:ascii="Times New Roman" w:eastAsia="Times New Roman" w:hAnsi="Times New Roman" w:cs="Times New Roman"/>
          <w:i/>
        </w:rPr>
        <w:t>Silverman v. OpenAI, Inc</w:t>
      </w:r>
      <w:r>
        <w:rPr>
          <w:rFonts w:ascii="Times New Roman" w:eastAsia="Times New Roman" w:hAnsi="Times New Roman" w:cs="Times New Roman"/>
        </w:rPr>
        <w:t>.</w:t>
      </w:r>
      <w:r>
        <w:rPr>
          <w:rStyle w:val="FootnoteReference"/>
        </w:rPr>
        <w:footnoteReference w:id="249"/>
      </w:r>
      <w:r>
        <w:rPr>
          <w:rFonts w:ascii="Times New Roman" w:eastAsia="Times New Roman" w:hAnsi="Times New Roman" w:cs="Times New Roman"/>
        </w:rPr>
        <w:t xml:space="preserve"> to this group.</w:t>
      </w:r>
    </w:p>
    <w:p w14:paraId="38A15FA2"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In April </w:t>
      </w:r>
      <w:r>
        <w:rPr>
          <w:rFonts w:ascii="Times New Roman" w:eastAsia="Times New Roman" w:hAnsi="Times New Roman" w:cs="Times New Roman"/>
          <w:i/>
          <w:iCs/>
        </w:rPr>
        <w:t>2025</w:t>
      </w:r>
      <w:r>
        <w:rPr>
          <w:rFonts w:ascii="Times New Roman" w:eastAsia="Times New Roman" w:hAnsi="Times New Roman" w:cs="Times New Roman"/>
        </w:rPr>
        <w:t xml:space="preserve"> these three cases were consolidated with nine other cases in multidistrict litigation to proceed in the Southern District of New York.</w:t>
      </w:r>
      <w:r>
        <w:rPr>
          <w:rStyle w:val="FootnoteReference"/>
        </w:rPr>
        <w:footnoteReference w:id="250"/>
      </w:r>
      <w:r>
        <w:rPr>
          <w:rFonts w:ascii="Times New Roman" w:eastAsia="Times New Roman" w:hAnsi="Times New Roman" w:cs="Times New Roman"/>
        </w:rPr>
        <w:t xml:space="preserve"> I will be discussing several of these cases in greater detail: </w:t>
      </w:r>
      <w:r>
        <w:rPr>
          <w:rFonts w:ascii="Times New Roman" w:eastAsia="Times New Roman" w:hAnsi="Times New Roman" w:cs="Times New Roman"/>
          <w:i/>
        </w:rPr>
        <w:t>Tremblay</w:t>
      </w:r>
      <w:r>
        <w:rPr>
          <w:rFonts w:ascii="Times New Roman" w:eastAsia="Times New Roman" w:hAnsi="Times New Roman" w:cs="Times New Roman"/>
        </w:rPr>
        <w:t xml:space="preserve">, </w:t>
      </w:r>
      <w:r>
        <w:rPr>
          <w:rFonts w:ascii="Times New Roman" w:eastAsia="Times New Roman" w:hAnsi="Times New Roman" w:cs="Times New Roman"/>
          <w:i/>
        </w:rPr>
        <w:t>Intercept Media, Inc. v. OpenAI, Inc.</w:t>
      </w:r>
      <w:r>
        <w:rPr>
          <w:rFonts w:ascii="Times New Roman" w:eastAsia="Times New Roman" w:hAnsi="Times New Roman" w:cs="Times New Roman"/>
        </w:rPr>
        <w:t>,</w:t>
      </w:r>
      <w:r>
        <w:rPr>
          <w:rStyle w:val="FootnoteReference"/>
        </w:rPr>
        <w:footnoteReference w:id="251"/>
      </w:r>
      <w:r>
        <w:rPr>
          <w:rFonts w:ascii="Times New Roman" w:eastAsia="Times New Roman" w:hAnsi="Times New Roman" w:cs="Times New Roman"/>
        </w:rPr>
        <w:t xml:space="preserve"> and </w:t>
      </w:r>
      <w:r>
        <w:rPr>
          <w:rFonts w:ascii="Times New Roman" w:eastAsia="Times New Roman" w:hAnsi="Times New Roman" w:cs="Times New Roman"/>
          <w:i/>
        </w:rPr>
        <w:t>New York Times v. Microsoft</w:t>
      </w:r>
      <w:r>
        <w:rPr>
          <w:rFonts w:ascii="Times New Roman" w:eastAsia="Times New Roman" w:hAnsi="Times New Roman" w:cs="Times New Roman"/>
        </w:rPr>
        <w:t>.</w:t>
      </w:r>
      <w:r>
        <w:rPr>
          <w:rStyle w:val="FootnoteReference"/>
        </w:rPr>
        <w:footnoteReference w:id="252"/>
      </w:r>
      <w:r>
        <w:rPr>
          <w:rFonts w:ascii="Times New Roman" w:eastAsia="Times New Roman" w:hAnsi="Times New Roman" w:cs="Times New Roman"/>
        </w:rPr>
        <w:t xml:space="preserve"> These cases, mostly involving OpenAI and its revolutionary AI tool ChatGPT, will likely play a definitive role in shaping the next copyright building block.</w:t>
      </w:r>
    </w:p>
    <w:p w14:paraId="21DE9276"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i/>
          <w:iCs/>
        </w:rPr>
        <w:t>Tremblay</w:t>
      </w:r>
      <w:r>
        <w:rPr>
          <w:rFonts w:ascii="Times New Roman" w:eastAsia="Times New Roman" w:hAnsi="Times New Roman" w:cs="Times New Roman"/>
        </w:rPr>
        <w:t xml:space="preserve"> is one of the first cases that set a pattern in which courts typically require very strict pleadings in DMCA claims, while permitting direct copyright infringement claims to proceed.</w:t>
      </w:r>
      <w:r>
        <w:rPr>
          <w:rStyle w:val="FootnoteReference"/>
        </w:rPr>
        <w:footnoteReference w:id="253"/>
      </w:r>
      <w:r>
        <w:rPr>
          <w:rFonts w:ascii="Times New Roman" w:eastAsia="Times New Roman" w:hAnsi="Times New Roman" w:cs="Times New Roman"/>
        </w:rPr>
        <w:t xml:space="preserve"> The court dismissed a claim under Section 1202(b)(1) for failing to allege any facts to support plaintiffs’ allegation that defendants removed CMI from copyrighted works during training</w:t>
      </w:r>
      <w:r>
        <w:rPr>
          <w:rStyle w:val="FootnoteReference"/>
        </w:rPr>
        <w:footnoteReference w:id="254"/>
      </w:r>
      <w:r>
        <w:rPr>
          <w:rFonts w:ascii="Times New Roman" w:eastAsia="Times New Roman" w:hAnsi="Times New Roman" w:cs="Times New Roman"/>
        </w:rPr>
        <w:t xml:space="preserve"> nor to support plaintiffs’ allegation that removing or omitting CMI during training would give defendant reasonable grounds to know that ChatGPT’s output would “induce, enable, facilitate, or </w:t>
      </w:r>
      <w:r>
        <w:rPr>
          <w:rFonts w:ascii="Times New Roman" w:eastAsia="Times New Roman" w:hAnsi="Times New Roman" w:cs="Times New Roman"/>
        </w:rPr>
        <w:lastRenderedPageBreak/>
        <w:t>conceal infringement.”</w:t>
      </w:r>
      <w:r>
        <w:rPr>
          <w:rStyle w:val="FootnoteReference"/>
        </w:rPr>
        <w:footnoteReference w:id="255"/>
      </w:r>
      <w:r>
        <w:rPr>
          <w:rFonts w:ascii="Times New Roman" w:eastAsia="Times New Roman" w:hAnsi="Times New Roman" w:cs="Times New Roman"/>
        </w:rPr>
        <w:t xml:space="preserve"> It also dismissed a claim under Section 1202(b)(3) for failing to allege any facts showing that defendants distributed any works after removing or omitting CMI, as required by the statute.</w:t>
      </w:r>
      <w:r>
        <w:rPr>
          <w:rStyle w:val="FootnoteReference"/>
        </w:rPr>
        <w:footnoteReference w:id="256"/>
      </w:r>
    </w:p>
    <w:p w14:paraId="72A56CB7"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decision in </w:t>
      </w:r>
      <w:r>
        <w:rPr>
          <w:rFonts w:ascii="Times New Roman" w:eastAsia="Times New Roman" w:hAnsi="Times New Roman" w:cs="Times New Roman"/>
          <w:i/>
          <w:iCs/>
        </w:rPr>
        <w:t>Intercept Media</w:t>
      </w:r>
      <w:r>
        <w:rPr>
          <w:rFonts w:ascii="Times New Roman" w:eastAsia="Times New Roman" w:hAnsi="Times New Roman" w:cs="Times New Roman"/>
        </w:rPr>
        <w:t xml:space="preserve"> also focused on DMCA claims, where the court granted defendant Microsoft’s motion to dismiss, with prejudice, plaintiffs’ claims under both Sections 1202(b)(1) and 1202(b)(3), and defendant OpenAI’s motion to dismiss, with prejudice, plaintiffs’ claim under Section 1202(b)(3), but denied OpenAI’s motion to dismiss plaintiffs’ claim under Section 1202(b)(1), thereby letting that claim proceed.</w:t>
      </w:r>
      <w:r>
        <w:rPr>
          <w:rStyle w:val="FootnoteReference"/>
        </w:rPr>
        <w:footnoteReference w:id="257"/>
      </w:r>
      <w:r>
        <w:rPr>
          <w:rFonts w:ascii="Times New Roman" w:eastAsia="Times New Roman" w:hAnsi="Times New Roman" w:cs="Times New Roman"/>
        </w:rPr>
        <w:t xml:space="preserve"> Regarding the Microsoft motion, the court held that the plaintiffs did not plausibly allege removal of CMI by Microsoft for the 1202(b)(1) claim and did not allege any factual support showing distribution under the 1202(b)(3) claim.</w:t>
      </w:r>
      <w:r>
        <w:rPr>
          <w:rStyle w:val="FootnoteReference"/>
        </w:rPr>
        <w:footnoteReference w:id="258"/>
      </w:r>
      <w:r>
        <w:rPr>
          <w:rFonts w:ascii="Times New Roman" w:eastAsia="Times New Roman" w:hAnsi="Times New Roman" w:cs="Times New Roman"/>
        </w:rPr>
        <w:t xml:space="preserve"> Regarding the OpenAI motion, the court similarly found that the plaintiffs did not allege any factual support showing that OpenAI distributed any articles as required by 1202(b)(3). However, it denied OpenAI’s motion</w:t>
      </w:r>
      <w:r>
        <w:rPr>
          <w:rStyle w:val="FootnoteReference"/>
        </w:rPr>
        <w:footnoteReference w:id="259"/>
      </w:r>
      <w:r>
        <w:rPr>
          <w:rFonts w:ascii="Times New Roman" w:eastAsia="Times New Roman" w:hAnsi="Times New Roman" w:cs="Times New Roman"/>
        </w:rPr>
        <w:t xml:space="preserve"> to dismiss under 1202(b)(1) because the plaintiffs did provide enough factual specificity regarding the output by ChatGPT of copyrighted articles without CMI.</w:t>
      </w:r>
      <w:r>
        <w:rPr>
          <w:rStyle w:val="FootnoteReference"/>
        </w:rPr>
        <w:footnoteReference w:id="260"/>
      </w:r>
      <w:r>
        <w:rPr>
          <w:rFonts w:ascii="Times New Roman" w:eastAsia="Times New Roman" w:hAnsi="Times New Roman" w:cs="Times New Roman"/>
        </w:rPr>
        <w:t xml:space="preserve"> The court found that there were enough details regarding ChatGPT’s “regurgitations” of copyrighted works in ChatGPT’s output to support both the factual and the “double scienter” requirement of the statute.</w:t>
      </w:r>
      <w:r>
        <w:rPr>
          <w:rStyle w:val="FootnoteReference"/>
        </w:rPr>
        <w:footnoteReference w:id="261"/>
      </w:r>
    </w:p>
    <w:p w14:paraId="4F489CFE" w14:textId="77777777" w:rsidR="00A75C8E" w:rsidRDefault="004C556B" w:rsidP="008372DB">
      <w:pPr>
        <w:spacing w:beforeAutospacing="1"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original, pre-consolidated </w:t>
      </w:r>
      <w:r>
        <w:rPr>
          <w:rFonts w:ascii="Times New Roman" w:eastAsia="Times New Roman" w:hAnsi="Times New Roman" w:cs="Times New Roman"/>
          <w:i/>
          <w:iCs/>
        </w:rPr>
        <w:t>New York Times</w:t>
      </w:r>
      <w:r>
        <w:rPr>
          <w:rFonts w:ascii="Times New Roman" w:eastAsia="Times New Roman" w:hAnsi="Times New Roman" w:cs="Times New Roman"/>
        </w:rPr>
        <w:t xml:space="preserve"> case involved multiple plaintiffs and multiple defendants in three separate actions.</w:t>
      </w:r>
      <w:r>
        <w:rPr>
          <w:rStyle w:val="FootnoteReference"/>
        </w:rPr>
        <w:footnoteReference w:id="262"/>
      </w:r>
      <w:r>
        <w:rPr>
          <w:rFonts w:ascii="Times New Roman" w:eastAsia="Times New Roman" w:hAnsi="Times New Roman" w:cs="Times New Roman"/>
        </w:rPr>
        <w:t xml:space="preserve"> </w:t>
      </w:r>
      <w:r>
        <w:rPr>
          <w:rFonts w:ascii="Times New Roman" w:hAnsi="Times New Roman" w:cs="Times New Roman"/>
        </w:rPr>
        <w:t>The New York Times alleges that large language models reproduced and summarized much of its journalism during both training and output, infringing its exclusive rights of reproduction and derivative work creation, and harming licensing markets for news archives</w:t>
      </w:r>
      <w:r>
        <w:rPr>
          <w:rFonts w:ascii="Times New Roman" w:eastAsia="Times New Roman" w:hAnsi="Times New Roman" w:cs="Times New Roman"/>
        </w:rPr>
        <w:t>.</w:t>
      </w:r>
      <w:r>
        <w:rPr>
          <w:rStyle w:val="FootnoteReference"/>
        </w:rPr>
        <w:footnoteReference w:id="263"/>
      </w:r>
      <w:r>
        <w:rPr>
          <w:rFonts w:ascii="Times New Roman" w:eastAsia="Times New Roman" w:hAnsi="Times New Roman" w:cs="Times New Roman"/>
        </w:rPr>
        <w:t xml:space="preserve"> The decisions on a variety of motions to dismiss generally followed the patterns of the other generative-AI cases: copyright infringement claims regarding both training and output survive, but only very carefully and specifically pleaded claims under the DMCA survive.</w:t>
      </w:r>
      <w:r>
        <w:rPr>
          <w:rStyle w:val="FootnoteReference"/>
        </w:rPr>
        <w:footnoteReference w:id="264"/>
      </w:r>
      <w:r>
        <w:rPr>
          <w:rFonts w:ascii="Times New Roman" w:eastAsia="Times New Roman" w:hAnsi="Times New Roman" w:cs="Times New Roman"/>
        </w:rPr>
        <w:t xml:space="preserve"> Regarding the DMCA claims, the results echoed most of the other cases: the court dismissed all of the DMCA claims (without prejudice) against all of the defendants for failure to plead sufficient facts, except for claims made by plaintiff Daily News and plaintiff CIR under Section 1202(b)(1).</w:t>
      </w:r>
      <w:r>
        <w:rPr>
          <w:rStyle w:val="FootnoteReference"/>
        </w:rPr>
        <w:footnoteReference w:id="265"/>
      </w:r>
      <w:r>
        <w:rPr>
          <w:rFonts w:ascii="Times New Roman" w:eastAsia="Times New Roman" w:hAnsi="Times New Roman" w:cs="Times New Roman"/>
        </w:rPr>
        <w:t xml:space="preserve"> The court found that both the Daily News complaint and CIR complaint stated in detail how CMI was removed during either the extraction process or the process of assembling the </w:t>
      </w:r>
      <w:r>
        <w:rPr>
          <w:rFonts w:ascii="Times New Roman" w:eastAsia="Times New Roman" w:hAnsi="Times New Roman" w:cs="Times New Roman"/>
        </w:rPr>
        <w:lastRenderedPageBreak/>
        <w:t>training dataset.</w:t>
      </w:r>
      <w:r>
        <w:rPr>
          <w:rStyle w:val="FootnoteReference"/>
        </w:rPr>
        <w:footnoteReference w:id="266"/>
      </w:r>
      <w:r>
        <w:rPr>
          <w:rFonts w:ascii="Times New Roman" w:eastAsia="Times New Roman" w:hAnsi="Times New Roman" w:cs="Times New Roman"/>
        </w:rPr>
        <w:t xml:space="preserve"> The court also found that both complaints “plausibly allege[d] that OpenAI’s CMI removal was intentional.”</w:t>
      </w:r>
      <w:r>
        <w:rPr>
          <w:rStyle w:val="FootnoteReference"/>
        </w:rPr>
        <w:footnoteReference w:id="267"/>
      </w:r>
    </w:p>
    <w:p w14:paraId="2FBBA77F" w14:textId="77777777" w:rsidR="00A75C8E" w:rsidRDefault="004C556B" w:rsidP="008372DB">
      <w:pPr>
        <w:spacing w:beforeAutospacing="1" w:afterAutospacing="1" w:line="240" w:lineRule="auto"/>
        <w:jc w:val="both"/>
        <w:outlineLvl w:val="1"/>
        <w:rPr>
          <w:b/>
        </w:rPr>
      </w:pPr>
      <w:bookmarkStart w:id="66" w:name="_Toc220693082"/>
      <w:bookmarkStart w:id="67" w:name="_Toc211877777"/>
      <w:r>
        <w:rPr>
          <w:b/>
        </w:rPr>
        <w:t xml:space="preserve">9 </w:t>
      </w:r>
      <w:proofErr w:type="gramStart"/>
      <w:r>
        <w:rPr>
          <w:b/>
        </w:rPr>
        <w:t>EVOLUTION</w:t>
      </w:r>
      <w:proofErr w:type="gramEnd"/>
      <w:r>
        <w:rPr>
          <w:b/>
        </w:rPr>
        <w:t xml:space="preserve"> OF A NEW “AI-GENERATED” BUILDING BLOCK</w:t>
      </w:r>
      <w:bookmarkEnd w:id="66"/>
    </w:p>
    <w:p w14:paraId="503C1CCF" w14:textId="524BEECF" w:rsidR="00D01CF7" w:rsidRPr="00C65EB5" w:rsidRDefault="00D01CF7" w:rsidP="008372DB">
      <w:pPr>
        <w:spacing w:beforeAutospacing="1" w:afterAutospacing="1" w:line="240" w:lineRule="auto"/>
        <w:jc w:val="both"/>
        <w:outlineLvl w:val="1"/>
        <w:rPr>
          <w:rFonts w:ascii="Times New Roman" w:eastAsia="Times New Roman" w:hAnsi="Times New Roman" w:cs="Times New Roman"/>
          <w:bCs/>
          <w:kern w:val="0"/>
          <w:sz w:val="36"/>
          <w:szCs w:val="36"/>
          <w14:ligatures w14:val="none"/>
        </w:rPr>
      </w:pPr>
      <w:r>
        <w:rPr>
          <w:rFonts w:ascii="Times New Roman" w:hAnsi="Times New Roman" w:cs="Times New Roman"/>
          <w:bCs/>
        </w:rPr>
        <w:t>The basic pillars or building blocks of copyright law have bent, but not broken</w:t>
      </w:r>
      <w:r w:rsidR="00C02E85">
        <w:rPr>
          <w:rFonts w:ascii="Times New Roman" w:hAnsi="Times New Roman" w:cs="Times New Roman"/>
          <w:bCs/>
        </w:rPr>
        <w:t>,</w:t>
      </w:r>
      <w:r>
        <w:rPr>
          <w:rFonts w:ascii="Times New Roman" w:hAnsi="Times New Roman" w:cs="Times New Roman"/>
          <w:bCs/>
        </w:rPr>
        <w:t xml:space="preserve"> over the years. This will continue to be true despite the many issues driven today by AI. Section 9.1 discusses some of the likely changes that will occur because of the AI training questions. Section 9.2 addresses the likely changes regarding substantial similarity and infringement</w:t>
      </w:r>
      <w:r w:rsidR="00C02E85">
        <w:rPr>
          <w:rFonts w:ascii="Times New Roman" w:hAnsi="Times New Roman" w:cs="Times New Roman"/>
          <w:bCs/>
        </w:rPr>
        <w:t>.</w:t>
      </w:r>
      <w:r>
        <w:rPr>
          <w:rFonts w:ascii="Times New Roman" w:hAnsi="Times New Roman" w:cs="Times New Roman"/>
          <w:bCs/>
        </w:rPr>
        <w:t xml:space="preserve"> Section 9.3 will return to the questions pertaining to originality and copyrightability. Finally, Section 9.4 will summarize some of the modifications to the basic building blocks </w:t>
      </w:r>
      <w:r w:rsidR="00C02E85">
        <w:rPr>
          <w:rFonts w:ascii="Times New Roman" w:hAnsi="Times New Roman" w:cs="Times New Roman"/>
          <w:bCs/>
        </w:rPr>
        <w:t xml:space="preserve">of copyright law </w:t>
      </w:r>
      <w:r>
        <w:rPr>
          <w:rFonts w:ascii="Times New Roman" w:hAnsi="Times New Roman" w:cs="Times New Roman"/>
          <w:bCs/>
        </w:rPr>
        <w:t xml:space="preserve">as a result of AI. </w:t>
      </w:r>
    </w:p>
    <w:p w14:paraId="4D158A34"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68" w:name="_Toc220693083"/>
      <w:r>
        <w:rPr>
          <w:b/>
        </w:rPr>
        <w:t>9.1 Training</w:t>
      </w:r>
      <w:bookmarkEnd w:id="68"/>
    </w:p>
    <w:p w14:paraId="4E63C947" w14:textId="77777777" w:rsidR="00A75C8E" w:rsidRDefault="004C556B" w:rsidP="008372DB">
      <w:pPr>
        <w:jc w:val="both"/>
        <w:rPr>
          <w:rFonts w:ascii="Times New Roman" w:hAnsi="Times New Roman" w:cs="Times New Roman"/>
        </w:rPr>
      </w:pPr>
      <w:r>
        <w:rPr>
          <w:rFonts w:ascii="Times New Roman" w:hAnsi="Times New Roman" w:cs="Times New Roman"/>
        </w:rPr>
        <w:t xml:space="preserve">This is the big issue today. A few pre-generative AI cases have laid a very strong foundation favoring fair use. </w:t>
      </w:r>
      <w:proofErr w:type="spellStart"/>
      <w:r>
        <w:rPr>
          <w:rFonts w:ascii="Times New Roman" w:hAnsi="Times New Roman" w:cs="Times New Roman"/>
          <w:i/>
        </w:rPr>
        <w:t>HathiTrust</w:t>
      </w:r>
      <w:proofErr w:type="spellEnd"/>
      <w:r>
        <w:rPr>
          <w:rStyle w:val="FootnoteReference"/>
        </w:rPr>
        <w:footnoteReference w:id="268"/>
      </w:r>
      <w:r>
        <w:rPr>
          <w:rFonts w:ascii="Times New Roman" w:hAnsi="Times New Roman" w:cs="Times New Roman"/>
          <w:i/>
        </w:rPr>
        <w:t xml:space="preserve"> </w:t>
      </w:r>
      <w:r>
        <w:rPr>
          <w:rFonts w:ascii="Times New Roman" w:hAnsi="Times New Roman" w:cs="Times New Roman"/>
        </w:rPr>
        <w:t xml:space="preserve">and </w:t>
      </w:r>
      <w:r>
        <w:rPr>
          <w:rFonts w:ascii="Times New Roman" w:hAnsi="Times New Roman" w:cs="Times New Roman"/>
          <w:i/>
        </w:rPr>
        <w:t>Google Books</w:t>
      </w:r>
      <w:r>
        <w:rPr>
          <w:rStyle w:val="FootnoteReference"/>
        </w:rPr>
        <w:footnoteReference w:id="269"/>
      </w:r>
      <w:r>
        <w:rPr>
          <w:rFonts w:ascii="Times New Roman" w:hAnsi="Times New Roman" w:cs="Times New Roman"/>
        </w:rPr>
        <w:t xml:space="preserve"> laid extremely strong cornerstones in the realm of search engines and fair use. They focused on the transformative nature of the resulting uses and products. </w:t>
      </w:r>
      <w:r>
        <w:rPr>
          <w:rFonts w:ascii="Times New Roman" w:hAnsi="Times New Roman" w:cs="Times New Roman"/>
          <w:i/>
        </w:rPr>
        <w:t>Google v. Oracle</w:t>
      </w:r>
      <w:r>
        <w:rPr>
          <w:rStyle w:val="FootnoteReference"/>
        </w:rPr>
        <w:footnoteReference w:id="270"/>
      </w:r>
      <w:r>
        <w:rPr>
          <w:rFonts w:ascii="Times New Roman" w:hAnsi="Times New Roman" w:cs="Times New Roman"/>
        </w:rPr>
        <w:t xml:space="preserve"> broadened fair use to permit even the verbatim copying of large chunks of code. </w:t>
      </w:r>
    </w:p>
    <w:p w14:paraId="652D8135" w14:textId="77777777" w:rsidR="00A75C8E" w:rsidRDefault="004C556B" w:rsidP="008372DB">
      <w:pPr>
        <w:jc w:val="both"/>
        <w:rPr>
          <w:rFonts w:ascii="Times New Roman" w:hAnsi="Times New Roman" w:cs="Times New Roman"/>
        </w:rPr>
      </w:pPr>
      <w:r>
        <w:rPr>
          <w:rFonts w:ascii="Times New Roman" w:hAnsi="Times New Roman" w:cs="Times New Roman"/>
        </w:rPr>
        <w:t xml:space="preserve">All three cases emphasized the importance of the very purpose of copyright law. In </w:t>
      </w:r>
      <w:proofErr w:type="spellStart"/>
      <w:r>
        <w:rPr>
          <w:rFonts w:ascii="Times New Roman" w:hAnsi="Times New Roman" w:cs="Times New Roman"/>
          <w:i/>
        </w:rPr>
        <w:t>HathiTrust</w:t>
      </w:r>
      <w:proofErr w:type="spellEnd"/>
      <w:r>
        <w:rPr>
          <w:rFonts w:ascii="Times New Roman" w:hAnsi="Times New Roman" w:cs="Times New Roman"/>
        </w:rPr>
        <w:t xml:space="preserve">, quoting from </w:t>
      </w:r>
      <w:r>
        <w:rPr>
          <w:rFonts w:ascii="Times New Roman" w:hAnsi="Times New Roman" w:cs="Times New Roman"/>
          <w:i/>
        </w:rPr>
        <w:t>Campbell</w:t>
      </w:r>
      <w:r>
        <w:rPr>
          <w:rFonts w:ascii="Times New Roman" w:hAnsi="Times New Roman" w:cs="Times New Roman"/>
        </w:rPr>
        <w:t xml:space="preserve"> and the U.S. Constitution, the court stated that “[f]</w:t>
      </w:r>
      <w:proofErr w:type="spellStart"/>
      <w:r>
        <w:rPr>
          <w:rFonts w:ascii="Times New Roman" w:hAnsi="Times New Roman" w:cs="Times New Roman"/>
        </w:rPr>
        <w:t>rom</w:t>
      </w:r>
      <w:proofErr w:type="spellEnd"/>
      <w:r>
        <w:rPr>
          <w:rFonts w:ascii="Times New Roman" w:hAnsi="Times New Roman" w:cs="Times New Roman"/>
        </w:rPr>
        <w:t xml:space="preserve"> the infancy of copyright protection, some opportunity for fair use of copyrighted materials has been thought necessary to fulfill copyright’s very purpose, ‘[t]o promote the Progress of Science and useful Arts....’ ”</w:t>
      </w:r>
      <w:r>
        <w:rPr>
          <w:rStyle w:val="FootnoteReference"/>
        </w:rPr>
        <w:footnoteReference w:id="271"/>
      </w:r>
      <w:r>
        <w:rPr>
          <w:rFonts w:ascii="Times New Roman" w:hAnsi="Times New Roman" w:cs="Times New Roman"/>
        </w:rPr>
        <w:t xml:space="preserve"> </w:t>
      </w:r>
      <w:r>
        <w:rPr>
          <w:rFonts w:ascii="Times New Roman" w:hAnsi="Times New Roman" w:cs="Times New Roman"/>
          <w:i/>
        </w:rPr>
        <w:t>Google Books</w:t>
      </w:r>
      <w:r>
        <w:rPr>
          <w:rFonts w:ascii="Times New Roman" w:hAnsi="Times New Roman" w:cs="Times New Roman"/>
        </w:rPr>
        <w:t>, also referring to the Constitutional charge to Congress, added that “[t]he ultimate goal of copyright is to expand public knowledge and understanding, which copyright seeks to achieve by giving potential creators exclusive control over copying of their works, thus giving them a financial incentive to create informative, intellectually enriching works for public consumption.”</w:t>
      </w:r>
      <w:r>
        <w:rPr>
          <w:rStyle w:val="FootnoteReference"/>
        </w:rPr>
        <w:footnoteReference w:id="272"/>
      </w:r>
      <w:r>
        <w:rPr>
          <w:rFonts w:ascii="Times New Roman" w:hAnsi="Times New Roman" w:cs="Times New Roman"/>
        </w:rPr>
        <w:t xml:space="preserve"> In further elaborating on Congress’s charge, the Supreme Court, in </w:t>
      </w:r>
      <w:r>
        <w:rPr>
          <w:rFonts w:ascii="Times New Roman" w:hAnsi="Times New Roman" w:cs="Times New Roman"/>
          <w:i/>
        </w:rPr>
        <w:t>Google v. Oracle</w:t>
      </w:r>
      <w:r>
        <w:rPr>
          <w:rFonts w:ascii="Times New Roman" w:hAnsi="Times New Roman" w:cs="Times New Roman"/>
        </w:rPr>
        <w:t xml:space="preserve"> stated that “Congress and the courts have limited the scope of copyright protection to ensure that a copyright holder’s monopoly does not harm the public interest.”</w:t>
      </w:r>
      <w:r>
        <w:rPr>
          <w:rStyle w:val="FootnoteReference"/>
        </w:rPr>
        <w:footnoteReference w:id="273"/>
      </w:r>
      <w:r>
        <w:rPr>
          <w:rFonts w:ascii="Times New Roman" w:hAnsi="Times New Roman" w:cs="Times New Roman"/>
        </w:rPr>
        <w:t xml:space="preserve"> The Court continued that two important limits were implicated by the case: “[f]</w:t>
      </w:r>
      <w:proofErr w:type="spellStart"/>
      <w:r>
        <w:rPr>
          <w:rFonts w:ascii="Times New Roman" w:hAnsi="Times New Roman" w:cs="Times New Roman"/>
        </w:rPr>
        <w:t>irst</w:t>
      </w:r>
      <w:proofErr w:type="spellEnd"/>
      <w:r>
        <w:rPr>
          <w:rFonts w:ascii="Times New Roman" w:hAnsi="Times New Roman" w:cs="Times New Roman"/>
        </w:rPr>
        <w:t>, the [Copyright] Act provides that copyright protection cannot extend to ‘any idea, procedure, process, system, method of operation, concept, principle, or discovery . . .’ [and s]</w:t>
      </w:r>
      <w:proofErr w:type="spellStart"/>
      <w:r>
        <w:rPr>
          <w:rFonts w:ascii="Times New Roman" w:hAnsi="Times New Roman" w:cs="Times New Roman"/>
        </w:rPr>
        <w:t>econd</w:t>
      </w:r>
      <w:proofErr w:type="spellEnd"/>
      <w:r>
        <w:rPr>
          <w:rFonts w:ascii="Times New Roman" w:hAnsi="Times New Roman" w:cs="Times New Roman"/>
        </w:rPr>
        <w:t xml:space="preserve">, the Act provides that a </w:t>
      </w:r>
      <w:r>
        <w:rPr>
          <w:rFonts w:ascii="Times New Roman" w:hAnsi="Times New Roman" w:cs="Times New Roman"/>
        </w:rPr>
        <w:lastRenderedPageBreak/>
        <w:t>copyright holder may not prevent another person from making a ‘fair use’ of a copyrighted work.”</w:t>
      </w:r>
      <w:r>
        <w:rPr>
          <w:rStyle w:val="FootnoteReference"/>
        </w:rPr>
        <w:footnoteReference w:id="274"/>
      </w:r>
    </w:p>
    <w:p w14:paraId="1DC2B4FC" w14:textId="77777777" w:rsidR="00A75C8E" w:rsidRDefault="004C556B" w:rsidP="008372DB">
      <w:pPr>
        <w:jc w:val="both"/>
        <w:rPr>
          <w:rFonts w:ascii="Times New Roman" w:hAnsi="Times New Roman" w:cs="Times New Roman"/>
        </w:rPr>
      </w:pPr>
      <w:r>
        <w:rPr>
          <w:rFonts w:ascii="Times New Roman" w:hAnsi="Times New Roman" w:cs="Times New Roman"/>
        </w:rPr>
        <w:t xml:space="preserve">Two recent generative AI cases have followed this path: in </w:t>
      </w:r>
      <w:r>
        <w:rPr>
          <w:rFonts w:ascii="Times New Roman" w:hAnsi="Times New Roman" w:cs="Times New Roman"/>
          <w:i/>
        </w:rPr>
        <w:t>Bartz v. Anthropic PBC,</w:t>
      </w:r>
      <w:r>
        <w:rPr>
          <w:rStyle w:val="FootnoteReference"/>
        </w:rPr>
        <w:footnoteReference w:id="275"/>
      </w:r>
      <w:r>
        <w:rPr>
          <w:rFonts w:ascii="Times New Roman" w:hAnsi="Times New Roman" w:cs="Times New Roman"/>
        </w:rPr>
        <w:t xml:space="preserve"> the Northern District of California granted a motion for summary judgment for defendant on the issue of fair use, holding that defendant’s use of the books it purchased to train its AI model, Claude, was “exceedingly transformative” and a fair use;</w:t>
      </w:r>
      <w:r>
        <w:rPr>
          <w:rStyle w:val="FootnoteReference"/>
        </w:rPr>
        <w:footnoteReference w:id="276"/>
      </w:r>
      <w:r>
        <w:rPr>
          <w:rFonts w:ascii="Times New Roman" w:hAnsi="Times New Roman" w:cs="Times New Roman"/>
        </w:rPr>
        <w:t xml:space="preserve"> and for similar reasons, in </w:t>
      </w:r>
      <w:proofErr w:type="spellStart"/>
      <w:r>
        <w:rPr>
          <w:rFonts w:ascii="Times New Roman" w:hAnsi="Times New Roman" w:cs="Times New Roman"/>
          <w:i/>
        </w:rPr>
        <w:t>Kadrey</w:t>
      </w:r>
      <w:proofErr w:type="spellEnd"/>
      <w:r>
        <w:rPr>
          <w:rFonts w:ascii="Times New Roman" w:hAnsi="Times New Roman" w:cs="Times New Roman"/>
          <w:i/>
        </w:rPr>
        <w:t xml:space="preserve"> v. Meta Platforms, Inc.</w:t>
      </w:r>
      <w:r>
        <w:rPr>
          <w:rFonts w:ascii="Times New Roman" w:hAnsi="Times New Roman" w:cs="Times New Roman"/>
        </w:rPr>
        <w:t>,</w:t>
      </w:r>
      <w:r>
        <w:rPr>
          <w:rStyle w:val="FootnoteReference"/>
        </w:rPr>
        <w:footnoteReference w:id="277"/>
      </w:r>
      <w:r>
        <w:rPr>
          <w:rFonts w:ascii="Times New Roman" w:hAnsi="Times New Roman" w:cs="Times New Roman"/>
        </w:rPr>
        <w:t xml:space="preserve"> in a case where Meta had downloaded copies of plaintiffs’ books from “shadow libraries” on the Internet without paying for the copies to train its AI model, Llama, the same court, seemingly reluctantly, granted defendant’s summary judgment on the issue of fair use for training purposes: “[g]</w:t>
      </w:r>
      <w:proofErr w:type="spellStart"/>
      <w:r>
        <w:rPr>
          <w:rFonts w:ascii="Times New Roman" w:hAnsi="Times New Roman" w:cs="Times New Roman"/>
        </w:rPr>
        <w:t>iven</w:t>
      </w:r>
      <w:proofErr w:type="spellEnd"/>
      <w:r>
        <w:rPr>
          <w:rFonts w:ascii="Times New Roman" w:hAnsi="Times New Roman" w:cs="Times New Roman"/>
        </w:rPr>
        <w:t xml:space="preserve"> the state of the record, the Court has no choice but to grant summary judgment to Meta on the plaintiffs’ claim that the company violated copyright law by training its models with their books.”</w:t>
      </w:r>
      <w:r>
        <w:rPr>
          <w:rStyle w:val="FootnoteReference"/>
        </w:rPr>
        <w:footnoteReference w:id="278"/>
      </w:r>
    </w:p>
    <w:p w14:paraId="51A5DC25" w14:textId="77777777" w:rsidR="00A75C8E" w:rsidRDefault="004C556B" w:rsidP="008372DB">
      <w:pPr>
        <w:jc w:val="both"/>
        <w:rPr>
          <w:rFonts w:ascii="Times New Roman" w:hAnsi="Times New Roman" w:cs="Times New Roman"/>
        </w:rPr>
      </w:pPr>
      <w:r>
        <w:rPr>
          <w:rFonts w:ascii="Times New Roman" w:hAnsi="Times New Roman" w:cs="Times New Roman"/>
        </w:rPr>
        <w:t xml:space="preserve">The only case that has </w:t>
      </w:r>
      <w:proofErr w:type="gramStart"/>
      <w:r>
        <w:rPr>
          <w:rFonts w:ascii="Times New Roman" w:hAnsi="Times New Roman" w:cs="Times New Roman"/>
        </w:rPr>
        <w:t>bucked</w:t>
      </w:r>
      <w:proofErr w:type="gramEnd"/>
      <w:r>
        <w:rPr>
          <w:rFonts w:ascii="Times New Roman" w:hAnsi="Times New Roman" w:cs="Times New Roman"/>
        </w:rPr>
        <w:t xml:space="preserve"> this trend is </w:t>
      </w:r>
      <w:r>
        <w:rPr>
          <w:rFonts w:ascii="Times New Roman" w:hAnsi="Times New Roman"/>
        </w:rPr>
        <w:t>Thomson Reuters</w:t>
      </w:r>
      <w:r>
        <w:rPr>
          <w:rFonts w:ascii="Times New Roman" w:hAnsi="Times New Roman" w:cs="Times New Roman"/>
          <w:i/>
        </w:rPr>
        <w:t xml:space="preserve"> v. Ross</w:t>
      </w:r>
      <w:r>
        <w:rPr>
          <w:rFonts w:ascii="Times New Roman" w:hAnsi="Times New Roman" w:cs="Times New Roman"/>
        </w:rPr>
        <w:t>,</w:t>
      </w:r>
      <w:r>
        <w:rPr>
          <w:rStyle w:val="FootnoteReference"/>
        </w:rPr>
        <w:footnoteReference w:id="279"/>
      </w:r>
      <w:r>
        <w:rPr>
          <w:rFonts w:ascii="Times New Roman" w:hAnsi="Times New Roman" w:cs="Times New Roman"/>
        </w:rPr>
        <w:t xml:space="preserve"> a pre-generative AI case, but one that did involve AI. Relying on </w:t>
      </w:r>
      <w:r>
        <w:rPr>
          <w:rFonts w:ascii="Times New Roman" w:hAnsi="Times New Roman" w:cs="Times New Roman"/>
          <w:i/>
        </w:rPr>
        <w:t>Warhol’s</w:t>
      </w:r>
      <w:r>
        <w:rPr>
          <w:rFonts w:ascii="Times New Roman" w:hAnsi="Times New Roman" w:cs="Times New Roman"/>
        </w:rPr>
        <w:t xml:space="preserve"> interjection of factor four market effect into factor one transformative use analysis, the court granted summary judgment against fair use because defendant’s AI product was a competitor of one of plaintiff’s products.</w:t>
      </w:r>
      <w:r>
        <w:rPr>
          <w:rStyle w:val="FootnoteReference"/>
        </w:rPr>
        <w:footnoteReference w:id="280"/>
      </w:r>
    </w:p>
    <w:p w14:paraId="62FB64E9" w14:textId="77777777" w:rsidR="00A75C8E" w:rsidRDefault="004C556B" w:rsidP="008372DB">
      <w:pPr>
        <w:jc w:val="both"/>
        <w:rPr>
          <w:rFonts w:ascii="Times New Roman" w:hAnsi="Times New Roman" w:cs="Times New Roman"/>
        </w:rPr>
      </w:pPr>
      <w:r>
        <w:rPr>
          <w:rFonts w:ascii="Times New Roman" w:hAnsi="Times New Roman" w:cs="Times New Roman"/>
        </w:rPr>
        <w:t xml:space="preserve">The most important pending case is the set of 12 consolidated cases arising from, among others, the </w:t>
      </w:r>
      <w:r>
        <w:rPr>
          <w:rFonts w:ascii="Times New Roman" w:hAnsi="Times New Roman"/>
        </w:rPr>
        <w:t>New York Times v. Microsoft</w:t>
      </w:r>
      <w:r>
        <w:rPr>
          <w:rFonts w:ascii="Times New Roman" w:hAnsi="Times New Roman" w:cs="Times New Roman"/>
        </w:rPr>
        <w:t xml:space="preserve"> case (the “</w:t>
      </w:r>
      <w:r>
        <w:rPr>
          <w:rFonts w:ascii="Times New Roman" w:hAnsi="Times New Roman"/>
        </w:rPr>
        <w:t>OpenAI cases</w:t>
      </w:r>
      <w:r>
        <w:rPr>
          <w:rFonts w:ascii="Times New Roman" w:hAnsi="Times New Roman" w:cs="Times New Roman"/>
        </w:rPr>
        <w:t>”).</w:t>
      </w:r>
      <w:r>
        <w:rPr>
          <w:rStyle w:val="FootnoteReference"/>
        </w:rPr>
        <w:footnoteReference w:id="281"/>
      </w:r>
      <w:r>
        <w:rPr>
          <w:rFonts w:ascii="Times New Roman" w:hAnsi="Times New Roman" w:cs="Times New Roman"/>
        </w:rPr>
        <w:t xml:space="preserve"> In an article discussing the original </w:t>
      </w:r>
      <w:r>
        <w:rPr>
          <w:rFonts w:ascii="Times New Roman" w:hAnsi="Times New Roman" w:cs="Times New Roman"/>
          <w:i/>
        </w:rPr>
        <w:t>New York Times</w:t>
      </w:r>
      <w:r>
        <w:rPr>
          <w:rFonts w:ascii="Times New Roman" w:hAnsi="Times New Roman" w:cs="Times New Roman"/>
        </w:rPr>
        <w:t xml:space="preserve"> case, Pamela Samuelson made several salient points:</w:t>
      </w:r>
    </w:p>
    <w:p w14:paraId="615B26F1" w14:textId="77777777" w:rsidR="00A75C8E" w:rsidRDefault="004C556B" w:rsidP="008372DB">
      <w:pPr>
        <w:ind w:left="720"/>
        <w:jc w:val="both"/>
        <w:rPr>
          <w:rFonts w:ascii="Times New Roman" w:hAnsi="Times New Roman" w:cs="Times New Roman"/>
        </w:rPr>
      </w:pPr>
      <w:r>
        <w:rPr>
          <w:rFonts w:ascii="Times New Roman" w:hAnsi="Times New Roman" w:cs="Times New Roman"/>
        </w:rPr>
        <w:t xml:space="preserve">1. “All of the generative AI defendants are likely to invoke several defendant-friendly statements from the Supreme Court’s </w:t>
      </w:r>
      <w:r>
        <w:rPr>
          <w:rFonts w:ascii="Times New Roman" w:hAnsi="Times New Roman" w:cs="Times New Roman"/>
          <w:i/>
        </w:rPr>
        <w:t>Google v. Oracle</w:t>
      </w:r>
      <w:r>
        <w:rPr>
          <w:rFonts w:ascii="Times New Roman" w:hAnsi="Times New Roman" w:cs="Times New Roman"/>
        </w:rPr>
        <w:t xml:space="preserve"> decision;”</w:t>
      </w:r>
      <w:r>
        <w:rPr>
          <w:rStyle w:val="FootnoteReference"/>
        </w:rPr>
        <w:footnoteReference w:id="282"/>
      </w:r>
      <w:r>
        <w:rPr>
          <w:rFonts w:ascii="Times New Roman" w:hAnsi="Times New Roman" w:cs="Times New Roman"/>
        </w:rPr>
        <w:br/>
      </w:r>
      <w:r>
        <w:rPr>
          <w:rFonts w:ascii="Times New Roman" w:hAnsi="Times New Roman" w:cs="Times New Roman"/>
        </w:rPr>
        <w:br/>
        <w:t xml:space="preserve">2. “In discussing market effects, </w:t>
      </w:r>
      <w:r>
        <w:rPr>
          <w:rFonts w:ascii="Times New Roman" w:hAnsi="Times New Roman" w:cs="Times New Roman"/>
          <w:i/>
        </w:rPr>
        <w:t>Google</w:t>
      </w:r>
      <w:r>
        <w:rPr>
          <w:rFonts w:ascii="Times New Roman" w:hAnsi="Times New Roman" w:cs="Times New Roman"/>
        </w:rPr>
        <w:t xml:space="preserve"> emphasized that courts should consider public benefits that may arise from challenged uses and balance them along with any lost revenue the plaintiffs may claim,”</w:t>
      </w:r>
      <w:r>
        <w:rPr>
          <w:rStyle w:val="FootnoteReference"/>
        </w:rPr>
        <w:footnoteReference w:id="283"/>
      </w:r>
      <w:r>
        <w:rPr>
          <w:rFonts w:ascii="Times New Roman" w:hAnsi="Times New Roman" w:cs="Times New Roman"/>
        </w:rPr>
        <w:t xml:space="preserve"> and “It remains to be seen what weight courts in the generative AI cases will give to public benefits enabled by unlicensed copying for training data </w:t>
      </w:r>
      <w:r>
        <w:rPr>
          <w:rFonts w:ascii="Times New Roman" w:hAnsi="Times New Roman" w:cs="Times New Roman"/>
        </w:rPr>
        <w:lastRenderedPageBreak/>
        <w:t>purposes when assessing market effects:”</w:t>
      </w:r>
      <w:r>
        <w:rPr>
          <w:rStyle w:val="FootnoteReference"/>
        </w:rPr>
        <w:footnoteReference w:id="284"/>
      </w:r>
      <w:r>
        <w:rPr>
          <w:rFonts w:ascii="Times New Roman" w:hAnsi="Times New Roman" w:cs="Times New Roman"/>
        </w:rPr>
        <w:br/>
      </w:r>
      <w:r>
        <w:rPr>
          <w:rFonts w:ascii="Times New Roman" w:hAnsi="Times New Roman" w:cs="Times New Roman"/>
        </w:rPr>
        <w:br/>
        <w:t>3. “The generative AI defendants will almost certainly draw upon these statements in their fair use arguments, for trained models are, like the Android platform, highly creative and have enabled millions of people to generate desired outputs.”</w:t>
      </w:r>
      <w:r>
        <w:rPr>
          <w:rStyle w:val="FootnoteReference"/>
        </w:rPr>
        <w:footnoteReference w:id="285"/>
      </w:r>
      <w:r>
        <w:rPr>
          <w:rFonts w:ascii="Times New Roman" w:hAnsi="Times New Roman" w:cs="Times New Roman"/>
        </w:rPr>
        <w:br/>
      </w:r>
      <w:r>
        <w:rPr>
          <w:rFonts w:ascii="Times New Roman" w:hAnsi="Times New Roman" w:cs="Times New Roman"/>
        </w:rPr>
        <w:br/>
        <w:t>4. “Because courts will almost certainly take several years to definitively resolve the many thorny copyright issues the generative AI lawsuits pose, interest has been growing in the possibility of a collective licensing regime for AI training data.”</w:t>
      </w:r>
      <w:r>
        <w:rPr>
          <w:rStyle w:val="FootnoteReference"/>
        </w:rPr>
        <w:footnoteReference w:id="286"/>
      </w:r>
      <w:r>
        <w:rPr>
          <w:rFonts w:ascii="Times New Roman" w:hAnsi="Times New Roman" w:cs="Times New Roman"/>
        </w:rPr>
        <w:br/>
      </w:r>
      <w:r>
        <w:rPr>
          <w:rFonts w:ascii="Times New Roman" w:hAnsi="Times New Roman" w:cs="Times New Roman"/>
        </w:rPr>
        <w:br/>
        <w:t>5. “Courts have no choice but to predict what outcome in the generative AI cases will best promote the constitutional purposes of copyright. On the answer to that question may well hang the future of generative AI.”</w:t>
      </w:r>
      <w:r>
        <w:rPr>
          <w:rStyle w:val="FootnoteReference"/>
        </w:rPr>
        <w:footnoteReference w:id="287"/>
      </w:r>
    </w:p>
    <w:p w14:paraId="00F1E5C3" w14:textId="007046CE" w:rsidR="00A75C8E" w:rsidRDefault="004C556B" w:rsidP="008372DB">
      <w:pPr>
        <w:jc w:val="both"/>
        <w:rPr>
          <w:rFonts w:ascii="Times New Roman" w:hAnsi="Times New Roman" w:cs="Times New Roman"/>
        </w:rPr>
      </w:pPr>
      <w:r>
        <w:rPr>
          <w:rFonts w:ascii="Times New Roman" w:hAnsi="Times New Roman" w:cs="Times New Roman"/>
        </w:rPr>
        <w:t xml:space="preserve">All of these statements and observations are important for the resolution of the training issue. With regard to the </w:t>
      </w:r>
      <w:r>
        <w:rPr>
          <w:rFonts w:ascii="Times New Roman" w:hAnsi="Times New Roman" w:cs="Times New Roman"/>
          <w:i/>
        </w:rPr>
        <w:t>OpenAI cases</w:t>
      </w:r>
      <w:r>
        <w:rPr>
          <w:rFonts w:ascii="Times New Roman" w:hAnsi="Times New Roman" w:cs="Times New Roman"/>
        </w:rPr>
        <w:t xml:space="preserve">, the bulk of the decision will come from the fair use analysis of factors one and four. While both factors are independently important, </w:t>
      </w:r>
      <w:r>
        <w:rPr>
          <w:rFonts w:ascii="Times New Roman" w:hAnsi="Times New Roman" w:cs="Times New Roman"/>
          <w:i/>
        </w:rPr>
        <w:t>Warhol</w:t>
      </w:r>
      <w:r>
        <w:rPr>
          <w:rFonts w:ascii="Times New Roman" w:hAnsi="Times New Roman" w:cs="Times New Roman"/>
        </w:rPr>
        <w:t xml:space="preserve"> tied them together to some extent. The only </w:t>
      </w:r>
      <w:proofErr w:type="gramStart"/>
      <w:r>
        <w:rPr>
          <w:rFonts w:ascii="Times New Roman" w:hAnsi="Times New Roman" w:cs="Times New Roman"/>
        </w:rPr>
        <w:t>real</w:t>
      </w:r>
      <w:proofErr w:type="gramEnd"/>
      <w:r>
        <w:rPr>
          <w:rFonts w:ascii="Times New Roman" w:hAnsi="Times New Roman" w:cs="Times New Roman"/>
        </w:rPr>
        <w:t xml:space="preserve"> strong argument in those cases that is bolstered by </w:t>
      </w:r>
      <w:r>
        <w:rPr>
          <w:rFonts w:ascii="Times New Roman" w:hAnsi="Times New Roman" w:cs="Times New Roman"/>
          <w:i/>
        </w:rPr>
        <w:t>Warhol</w:t>
      </w:r>
      <w:r>
        <w:rPr>
          <w:rFonts w:ascii="Times New Roman" w:hAnsi="Times New Roman" w:cs="Times New Roman"/>
        </w:rPr>
        <w:t>, is the one made by several of the plaintiffs that their market for news, for example, is diminished by output of AI that copies or even just serves as a satisfactory substitute. That is not an issue for many of the plaintiffs. A. Feder Cooper and James Grimmelmann point out that the New York Times did a good job of capturing this point in its complaint: “whenever a model has memorized a training work</w:t>
      </w:r>
      <w:r>
        <w:rPr>
          <w:rFonts w:ascii="Times New Roman" w:hAnsi="Times New Roman" w:cs="Times New Roman"/>
          <w:i/>
        </w:rPr>
        <w:t>, it has copied that training work</w:t>
      </w:r>
      <w:r>
        <w:rPr>
          <w:rFonts w:ascii="Times New Roman" w:hAnsi="Times New Roman" w:cs="Times New Roman"/>
        </w:rPr>
        <w:t>.”</w:t>
      </w:r>
      <w:r>
        <w:rPr>
          <w:rStyle w:val="FootnoteReference"/>
        </w:rPr>
        <w:footnoteReference w:id="288"/>
      </w:r>
      <w:r>
        <w:rPr>
          <w:rFonts w:ascii="Times New Roman" w:hAnsi="Times New Roman" w:cs="Times New Roman"/>
        </w:rPr>
        <w:t xml:space="preserve"> While this certainly has relevance to the balancing of both factors one and four, it will likely not be dispositive; it may be more relevant with regard to the copyright issues pertaining to output</w:t>
      </w:r>
      <w:r w:rsidR="00010DB5">
        <w:rPr>
          <w:rFonts w:ascii="Times New Roman" w:hAnsi="Times New Roman" w:cs="Times New Roman"/>
        </w:rPr>
        <w:t>, as will be discussed in Section 9.2.</w:t>
      </w:r>
    </w:p>
    <w:p w14:paraId="5B082721" w14:textId="77777777" w:rsidR="00A75C8E" w:rsidRDefault="004C556B" w:rsidP="008372DB">
      <w:pPr>
        <w:jc w:val="both"/>
        <w:rPr>
          <w:rFonts w:ascii="Times New Roman" w:hAnsi="Times New Roman" w:cs="Times New Roman"/>
        </w:rPr>
      </w:pPr>
      <w:r>
        <w:rPr>
          <w:rFonts w:ascii="Times New Roman" w:hAnsi="Times New Roman" w:cs="Times New Roman"/>
        </w:rPr>
        <w:t xml:space="preserve">Matthew Sag writes about public benefits and fair use, noting that in </w:t>
      </w:r>
      <w:r>
        <w:rPr>
          <w:rFonts w:ascii="Times New Roman" w:hAnsi="Times New Roman" w:cs="Times New Roman"/>
          <w:i/>
        </w:rPr>
        <w:t>Google v. Oracle</w:t>
      </w:r>
      <w:r>
        <w:rPr>
          <w:rFonts w:ascii="Times New Roman" w:hAnsi="Times New Roman" w:cs="Times New Roman"/>
        </w:rPr>
        <w:t>, Justice Breyer “took a broad view of the fourth fair use factor and held that courts must consider ‘the public benefits the [defendant’s] copying will likely produce,’ not just the harms.”</w:t>
      </w:r>
      <w:r>
        <w:rPr>
          <w:rStyle w:val="FootnoteReference"/>
        </w:rPr>
        <w:footnoteReference w:id="289"/>
      </w:r>
      <w:r>
        <w:rPr>
          <w:rFonts w:ascii="Times New Roman" w:hAnsi="Times New Roman" w:cs="Times New Roman"/>
        </w:rPr>
        <w:t xml:space="preserve"> As discussed earlier, Sag has also written a great deal about copyright safety for generative AI, discussing how important it is that training be deployed in a manner that “respects the rights of original authors and artists,” and that models should be trained to “learn abstract and uncopyrightable latent features of the training data and that do not simply memorize a compressed version.”</w:t>
      </w:r>
      <w:r>
        <w:rPr>
          <w:rStyle w:val="FootnoteReference"/>
        </w:rPr>
        <w:footnoteReference w:id="290"/>
      </w:r>
      <w:r>
        <w:rPr>
          <w:rFonts w:ascii="Times New Roman" w:hAnsi="Times New Roman" w:cs="Times New Roman"/>
        </w:rPr>
        <w:t xml:space="preserve"> Sag has also written about how important these features can be in a fair use analysis: in “</w:t>
      </w:r>
      <w:r>
        <w:rPr>
          <w:rFonts w:ascii="Times New Roman" w:hAnsi="Times New Roman" w:cs="Times New Roman"/>
          <w:i/>
        </w:rPr>
        <w:t>Google Books</w:t>
      </w:r>
      <w:r>
        <w:rPr>
          <w:rFonts w:ascii="Times New Roman" w:hAnsi="Times New Roman" w:cs="Times New Roman"/>
        </w:rPr>
        <w:t xml:space="preserve">, </w:t>
      </w:r>
      <w:r>
        <w:rPr>
          <w:rFonts w:ascii="Times New Roman" w:hAnsi="Times New Roman" w:cs="Times New Roman"/>
        </w:rPr>
        <w:lastRenderedPageBreak/>
        <w:t>the defendant’s fair use defense was bolstered by its robust security measures and the various mechanisms that it had employed to prevent snippet views from being combined into anything more substantial.”</w:t>
      </w:r>
      <w:r>
        <w:rPr>
          <w:rStyle w:val="FootnoteReference"/>
        </w:rPr>
        <w:footnoteReference w:id="291"/>
      </w:r>
    </w:p>
    <w:p w14:paraId="62D20D28" w14:textId="6E5905A1" w:rsidR="00A75C8E" w:rsidRDefault="004C556B" w:rsidP="008372DB">
      <w:pPr>
        <w:jc w:val="both"/>
        <w:rPr>
          <w:rFonts w:ascii="Times New Roman" w:hAnsi="Times New Roman" w:cs="Times New Roman"/>
        </w:rPr>
      </w:pPr>
      <w:r>
        <w:rPr>
          <w:rFonts w:ascii="Times New Roman" w:hAnsi="Times New Roman" w:cs="Times New Roman"/>
        </w:rPr>
        <w:t>As discussed earlier, Mark Lemley and Bryan Casey’s notion of “fair learning” contends that most AI systems copy works “not to get access to their creative expression (the part of the work the law protects), but to get access to the uncopyrightable parts of the work</w:t>
      </w:r>
      <w:r w:rsidR="00010DB5">
        <w:rPr>
          <w:rFonts w:ascii="Times New Roman" w:hAnsi="Times New Roman" w:cs="Times New Roman"/>
        </w:rPr>
        <w:t xml:space="preserve">, </w:t>
      </w:r>
      <w:r>
        <w:rPr>
          <w:rFonts w:ascii="Times New Roman" w:hAnsi="Times New Roman" w:cs="Times New Roman"/>
        </w:rPr>
        <w:t>the ideas, facts, and linguistic structure of the works.”</w:t>
      </w:r>
      <w:r>
        <w:rPr>
          <w:rStyle w:val="FootnoteReference"/>
        </w:rPr>
        <w:footnoteReference w:id="292"/>
      </w:r>
      <w:r>
        <w:rPr>
          <w:rFonts w:ascii="Times New Roman" w:hAnsi="Times New Roman" w:cs="Times New Roman"/>
        </w:rPr>
        <w:t xml:space="preserve"> They believe that an AI system should incorporate a “fair learning” principle: “If the purpose of the AI’s use is not to obtain or incorporate the copyrightable elements of a work but to access, learn, and use the unprotectable parts of the work, that use should be presumptively fair under the first fair use factor.”</w:t>
      </w:r>
      <w:r>
        <w:rPr>
          <w:rStyle w:val="FootnoteReference"/>
        </w:rPr>
        <w:footnoteReference w:id="293"/>
      </w:r>
    </w:p>
    <w:p w14:paraId="2F4F999D" w14:textId="77777777" w:rsidR="00A75C8E" w:rsidRDefault="004C556B" w:rsidP="008372DB">
      <w:pPr>
        <w:jc w:val="both"/>
        <w:rPr>
          <w:rFonts w:ascii="Times New Roman" w:hAnsi="Times New Roman" w:cs="Times New Roman"/>
        </w:rPr>
      </w:pPr>
      <w:r>
        <w:rPr>
          <w:rFonts w:ascii="Times New Roman" w:hAnsi="Times New Roman" w:cs="Times New Roman"/>
        </w:rPr>
        <w:t xml:space="preserve">I think that the weight of factor one fair use analysis (and precedence to some extent) from </w:t>
      </w:r>
      <w:r>
        <w:rPr>
          <w:rFonts w:ascii="Times New Roman" w:hAnsi="Times New Roman" w:cs="Times New Roman"/>
          <w:i/>
        </w:rPr>
        <w:t>Campbell</w:t>
      </w:r>
      <w:r>
        <w:rPr>
          <w:rFonts w:ascii="Times New Roman" w:hAnsi="Times New Roman" w:cs="Times New Roman"/>
        </w:rPr>
        <w:t xml:space="preserve">, </w:t>
      </w:r>
      <w:proofErr w:type="spellStart"/>
      <w:r>
        <w:rPr>
          <w:rFonts w:ascii="Times New Roman" w:hAnsi="Times New Roman" w:cs="Times New Roman"/>
          <w:i/>
        </w:rPr>
        <w:t>HathiTrust</w:t>
      </w:r>
      <w:proofErr w:type="spellEnd"/>
      <w:r>
        <w:rPr>
          <w:rFonts w:ascii="Times New Roman" w:hAnsi="Times New Roman" w:cs="Times New Roman"/>
        </w:rPr>
        <w:t xml:space="preserve">, </w:t>
      </w:r>
      <w:r>
        <w:rPr>
          <w:rFonts w:ascii="Times New Roman" w:hAnsi="Times New Roman" w:cs="Times New Roman"/>
          <w:i/>
        </w:rPr>
        <w:t>Google Books</w:t>
      </w:r>
      <w:r>
        <w:rPr>
          <w:rFonts w:ascii="Times New Roman" w:hAnsi="Times New Roman" w:cs="Times New Roman"/>
        </w:rPr>
        <w:t xml:space="preserve">, and </w:t>
      </w:r>
      <w:r>
        <w:rPr>
          <w:rFonts w:ascii="Times New Roman" w:hAnsi="Times New Roman" w:cs="Times New Roman"/>
          <w:i/>
        </w:rPr>
        <w:t>Google v. Oracle</w:t>
      </w:r>
      <w:r>
        <w:rPr>
          <w:rFonts w:ascii="Times New Roman" w:hAnsi="Times New Roman" w:cs="Times New Roman"/>
        </w:rPr>
        <w:t xml:space="preserve">, along with recent decisions like </w:t>
      </w:r>
      <w:r>
        <w:rPr>
          <w:rFonts w:ascii="Times New Roman" w:hAnsi="Times New Roman" w:cs="Times New Roman"/>
          <w:i/>
        </w:rPr>
        <w:t>Bartz</w:t>
      </w:r>
      <w:r>
        <w:rPr>
          <w:rFonts w:ascii="Times New Roman" w:hAnsi="Times New Roman" w:cs="Times New Roman"/>
        </w:rPr>
        <w:t xml:space="preserve"> and </w:t>
      </w:r>
      <w:proofErr w:type="spellStart"/>
      <w:r>
        <w:rPr>
          <w:rFonts w:ascii="Times New Roman" w:hAnsi="Times New Roman" w:cs="Times New Roman"/>
          <w:i/>
        </w:rPr>
        <w:t>Kadrey</w:t>
      </w:r>
      <w:proofErr w:type="spellEnd"/>
      <w:r>
        <w:rPr>
          <w:rFonts w:ascii="Times New Roman" w:hAnsi="Times New Roman" w:cs="Times New Roman"/>
        </w:rPr>
        <w:t xml:space="preserve"> will carry the day for the defendants. They will win factor one regarding training </w:t>
      </w:r>
      <w:proofErr w:type="gramStart"/>
      <w:r>
        <w:rPr>
          <w:rFonts w:ascii="Times New Roman" w:hAnsi="Times New Roman" w:cs="Times New Roman"/>
        </w:rPr>
        <w:t>as</w:t>
      </w:r>
      <w:proofErr w:type="gramEnd"/>
      <w:r>
        <w:rPr>
          <w:rFonts w:ascii="Times New Roman" w:hAnsi="Times New Roman" w:cs="Times New Roman"/>
        </w:rPr>
        <w:t xml:space="preserve"> fair use.</w:t>
      </w:r>
    </w:p>
    <w:p w14:paraId="1BC4ECF6" w14:textId="77777777" w:rsidR="00A75C8E" w:rsidRDefault="004C556B" w:rsidP="008372DB">
      <w:pPr>
        <w:jc w:val="both"/>
        <w:rPr>
          <w:rFonts w:ascii="Times New Roman" w:hAnsi="Times New Roman" w:cs="Times New Roman"/>
        </w:rPr>
      </w:pPr>
      <w:r>
        <w:rPr>
          <w:rFonts w:ascii="Times New Roman" w:hAnsi="Times New Roman" w:cs="Times New Roman"/>
        </w:rPr>
        <w:t>I believe that defendants will also prevail under factor four analysis because of 1) the public benefit analysis, 2) the importance of the emergence of guardrails that try to limit memorization, extraction, and regurgitation of training materials, 3) the likelihood that defendants will be able to show that “direct copies” in output are more aberrations or “bugs,” than features of generative AI (at least in the text-generating models), 4) plaintiff’s general failure to show a significant detrimental market effect, and 5) the tendency for law to favor innovation and “progress.”</w:t>
      </w:r>
    </w:p>
    <w:p w14:paraId="6CC3536F" w14:textId="77777777" w:rsidR="00A75C8E" w:rsidRDefault="004C556B" w:rsidP="008372DB">
      <w:pPr>
        <w:jc w:val="both"/>
        <w:rPr>
          <w:rFonts w:ascii="Times New Roman" w:hAnsi="Times New Roman" w:cs="Times New Roman"/>
        </w:rPr>
      </w:pPr>
      <w:r>
        <w:rPr>
          <w:rFonts w:ascii="Times New Roman" w:hAnsi="Times New Roman" w:cs="Times New Roman"/>
        </w:rPr>
        <w:t xml:space="preserve">Because of the significance of the </w:t>
      </w:r>
      <w:r>
        <w:rPr>
          <w:rFonts w:ascii="Times New Roman" w:hAnsi="Times New Roman" w:cs="Times New Roman"/>
          <w:i/>
        </w:rPr>
        <w:t>Bartz</w:t>
      </w:r>
      <w:r>
        <w:rPr>
          <w:rFonts w:ascii="Times New Roman" w:hAnsi="Times New Roman" w:cs="Times New Roman"/>
        </w:rPr>
        <w:t xml:space="preserve"> settlement regarding pirated copies, the development of a licensing market will likely be accelerated.</w:t>
      </w:r>
      <w:r>
        <w:rPr>
          <w:rStyle w:val="FootnoteReference"/>
        </w:rPr>
        <w:footnoteReference w:id="294"/>
      </w:r>
      <w:r>
        <w:rPr>
          <w:rFonts w:ascii="Times New Roman" w:hAnsi="Times New Roman" w:cs="Times New Roman"/>
        </w:rPr>
        <w:t xml:space="preserve"> If there is a favorable ruling in the </w:t>
      </w:r>
      <w:r>
        <w:rPr>
          <w:rFonts w:ascii="Times New Roman" w:hAnsi="Times New Roman" w:cs="Times New Roman"/>
          <w:i/>
        </w:rPr>
        <w:t>OpenAI cases</w:t>
      </w:r>
      <w:r>
        <w:rPr>
          <w:rFonts w:ascii="Times New Roman" w:hAnsi="Times New Roman" w:cs="Times New Roman"/>
        </w:rPr>
        <w:t>, there will still be some pushback from those who contend that fair uses of copyrighted works do not need to be paid for.</w:t>
      </w:r>
      <w:r>
        <w:rPr>
          <w:rStyle w:val="FootnoteReference"/>
        </w:rPr>
        <w:footnoteReference w:id="295"/>
      </w:r>
      <w:r>
        <w:rPr>
          <w:rFonts w:ascii="Times New Roman" w:hAnsi="Times New Roman" w:cs="Times New Roman"/>
        </w:rPr>
        <w:t xml:space="preserve"> However, many AI developers may decide that licensing is easier and less risky. With a strong ruling in favor of the AI developers in the </w:t>
      </w:r>
      <w:r>
        <w:rPr>
          <w:rFonts w:ascii="Times New Roman" w:hAnsi="Times New Roman" w:cs="Times New Roman"/>
          <w:i/>
        </w:rPr>
        <w:t>OpenAI cases</w:t>
      </w:r>
      <w:r>
        <w:rPr>
          <w:rFonts w:ascii="Times New Roman" w:hAnsi="Times New Roman" w:cs="Times New Roman"/>
        </w:rPr>
        <w:t xml:space="preserve">, we might even see a new acceptance for “scraping the web,” much like we saw a new set of standards regarding copying books </w:t>
      </w:r>
      <w:proofErr w:type="spellStart"/>
      <w:r>
        <w:rPr>
          <w:rFonts w:ascii="Times New Roman" w:hAnsi="Times New Roman" w:cs="Times New Roman"/>
        </w:rPr>
        <w:t>en</w:t>
      </w:r>
      <w:proofErr w:type="spellEnd"/>
      <w:r>
        <w:rPr>
          <w:rFonts w:ascii="Times New Roman" w:hAnsi="Times New Roman" w:cs="Times New Roman"/>
        </w:rPr>
        <w:t xml:space="preserve"> masse after the </w:t>
      </w:r>
      <w:proofErr w:type="spellStart"/>
      <w:r>
        <w:rPr>
          <w:rFonts w:ascii="Times New Roman" w:hAnsi="Times New Roman" w:cs="Times New Roman"/>
          <w:i/>
        </w:rPr>
        <w:t>HathiTrust</w:t>
      </w:r>
      <w:proofErr w:type="spellEnd"/>
      <w:r>
        <w:rPr>
          <w:rFonts w:ascii="Times New Roman" w:hAnsi="Times New Roman" w:cs="Times New Roman"/>
        </w:rPr>
        <w:t xml:space="preserve"> and </w:t>
      </w:r>
      <w:r>
        <w:rPr>
          <w:rFonts w:ascii="Times New Roman" w:hAnsi="Times New Roman" w:cs="Times New Roman"/>
          <w:i/>
        </w:rPr>
        <w:t>Google Books</w:t>
      </w:r>
      <w:r>
        <w:rPr>
          <w:rFonts w:ascii="Times New Roman" w:hAnsi="Times New Roman" w:cs="Times New Roman"/>
        </w:rPr>
        <w:t xml:space="preserve"> cases.</w:t>
      </w:r>
    </w:p>
    <w:p w14:paraId="1C64C0C3" w14:textId="77777777" w:rsidR="00A75C8E" w:rsidRDefault="004C556B" w:rsidP="008372DB">
      <w:pPr>
        <w:jc w:val="both"/>
        <w:rPr>
          <w:rFonts w:ascii="Times New Roman" w:hAnsi="Times New Roman" w:cs="Times New Roman"/>
        </w:rPr>
      </w:pPr>
      <w:r>
        <w:rPr>
          <w:rFonts w:ascii="Times New Roman" w:hAnsi="Times New Roman" w:cs="Times New Roman"/>
        </w:rPr>
        <w:t xml:space="preserve">Other peripheral issues will also be resolved by a finding of fair use in the </w:t>
      </w:r>
      <w:r>
        <w:rPr>
          <w:rFonts w:ascii="Times New Roman" w:hAnsi="Times New Roman" w:cs="Times New Roman"/>
          <w:i/>
        </w:rPr>
        <w:t>OpenAI cases</w:t>
      </w:r>
      <w:r>
        <w:rPr>
          <w:rFonts w:ascii="Times New Roman" w:hAnsi="Times New Roman" w:cs="Times New Roman"/>
        </w:rPr>
        <w:t xml:space="preserve">. DMCA claims will likely disappear. Terms of service and other contract claims regarding inappropriate access will also probably fade away until a new generation of licensing issues emerge down the </w:t>
      </w:r>
      <w:r>
        <w:rPr>
          <w:rFonts w:ascii="Times New Roman" w:hAnsi="Times New Roman" w:cs="Times New Roman"/>
        </w:rPr>
        <w:lastRenderedPageBreak/>
        <w:t>road. Disputes involving image- and music-generating AI will not be entirely resolved by a fair use decision in favor of AI training; nor will trademark disputes. They will be addressed in the next section.</w:t>
      </w:r>
    </w:p>
    <w:p w14:paraId="6043C0D8"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69" w:name="_Toc220693084"/>
      <w:r>
        <w:rPr>
          <w:b/>
        </w:rPr>
        <w:t>9.2 Output: Infringement</w:t>
      </w:r>
      <w:bookmarkEnd w:id="69"/>
    </w:p>
    <w:p w14:paraId="224A0DAA" w14:textId="77777777" w:rsidR="00A75C8E" w:rsidRDefault="004C556B" w:rsidP="008372DB">
      <w:pPr>
        <w:jc w:val="both"/>
        <w:rPr>
          <w:rFonts w:ascii="Times New Roman" w:hAnsi="Times New Roman" w:cs="Times New Roman"/>
        </w:rPr>
      </w:pPr>
      <w:r>
        <w:rPr>
          <w:rFonts w:ascii="Times New Roman" w:hAnsi="Times New Roman" w:cs="Times New Roman"/>
        </w:rPr>
        <w:t xml:space="preserve">AI companies are going to have to do a better job of making sure that copies upon which models are trained do not produce substantially similar output. As discussed earlier, as training becomes more sophisticated, better guardrails will develop and it will become easier to separate </w:t>
      </w:r>
      <w:proofErr w:type="gramStart"/>
      <w:r>
        <w:rPr>
          <w:rFonts w:ascii="Times New Roman" w:hAnsi="Times New Roman" w:cs="Times New Roman"/>
        </w:rPr>
        <w:t>idea</w:t>
      </w:r>
      <w:proofErr w:type="gramEnd"/>
      <w:r>
        <w:rPr>
          <w:rFonts w:ascii="Times New Roman" w:hAnsi="Times New Roman" w:cs="Times New Roman"/>
        </w:rPr>
        <w:t xml:space="preserve"> from expression.</w:t>
      </w:r>
      <w:r>
        <w:rPr>
          <w:rStyle w:val="FootnoteReference"/>
        </w:rPr>
        <w:footnoteReference w:id="296"/>
      </w:r>
      <w:r>
        <w:rPr>
          <w:rFonts w:ascii="Times New Roman" w:hAnsi="Times New Roman" w:cs="Times New Roman"/>
        </w:rPr>
        <w:t xml:space="preserve"> Repeated model training has worked well and other guardrails will emerge. Attempts to prevent memorization and regurgitation will eventually be successful enough to defeat most claims regarding text-generation. Models that produce images and music will have a tougher time. </w:t>
      </w:r>
    </w:p>
    <w:p w14:paraId="0DFAFB84" w14:textId="77777777" w:rsidR="00A75C8E" w:rsidRDefault="004C556B" w:rsidP="008372DB">
      <w:pPr>
        <w:jc w:val="both"/>
        <w:rPr>
          <w:rFonts w:ascii="Times New Roman" w:hAnsi="Times New Roman" w:cs="Times New Roman"/>
        </w:rPr>
      </w:pPr>
      <w:r>
        <w:rPr>
          <w:rFonts w:ascii="Times New Roman" w:hAnsi="Times New Roman" w:cs="Times New Roman"/>
        </w:rPr>
        <w:t xml:space="preserve">There will be many cases alleging substantial similarity between images used for training and images produced as outputs. Prompting will become a major issue and there will eventually be more recognition that sophisticated and repeated prompting will be able to reproduce output that will closely resemble copyrighted works. Caselaw will likely shape a balance between prompting and substantial similarity. </w:t>
      </w:r>
    </w:p>
    <w:p w14:paraId="708FB8BD" w14:textId="77777777" w:rsidR="00A75C8E" w:rsidRDefault="004C556B" w:rsidP="008372DB">
      <w:pPr>
        <w:jc w:val="both"/>
        <w:rPr>
          <w:rFonts w:ascii="Times New Roman" w:hAnsi="Times New Roman" w:cs="Times New Roman"/>
        </w:rPr>
      </w:pPr>
      <w:r>
        <w:rPr>
          <w:rFonts w:ascii="Times New Roman" w:hAnsi="Times New Roman" w:cs="Times New Roman"/>
        </w:rPr>
        <w:t xml:space="preserve">It will be even more problematic for models that generate photo-realistic images or videos, and for those that generate music and performance of music. The number of </w:t>
      </w:r>
      <w:proofErr w:type="gramStart"/>
      <w:r>
        <w:rPr>
          <w:rFonts w:ascii="Times New Roman" w:hAnsi="Times New Roman" w:cs="Times New Roman"/>
        </w:rPr>
        <w:t>right</w:t>
      </w:r>
      <w:proofErr w:type="gramEnd"/>
      <w:r>
        <w:rPr>
          <w:rFonts w:ascii="Times New Roman" w:hAnsi="Times New Roman" w:cs="Times New Roman"/>
        </w:rPr>
        <w:t xml:space="preserve"> of publicity cases will explode. Music cloning and deepfakes have already exceeded all expectations about how long it would take for them to become realistic. That time has come. There will likely be another push to create a new federal law regarding the right of publicity in order to eliminate the enormous variation in state laws, and to try to better integrate the right with other types of intellectual property laws and with First Amendment protection.</w:t>
      </w:r>
    </w:p>
    <w:p w14:paraId="54AF16EE" w14:textId="77777777" w:rsidR="00A75C8E" w:rsidRDefault="004C556B" w:rsidP="008372DB">
      <w:pPr>
        <w:jc w:val="both"/>
        <w:rPr>
          <w:rFonts w:ascii="Times New Roman" w:hAnsi="Times New Roman" w:cs="Times New Roman"/>
        </w:rPr>
      </w:pPr>
      <w:r>
        <w:rPr>
          <w:rFonts w:ascii="Times New Roman" w:hAnsi="Times New Roman" w:cs="Times New Roman"/>
        </w:rPr>
        <w:t>Trademark claims will probably continue as long as trademarks and other identifying marks are produced in output. As the training methods and guardrails improve, inadvertent regurgitations will decrease and so will most trademark claims.</w:t>
      </w:r>
    </w:p>
    <w:p w14:paraId="5C0F946E"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70" w:name="_Toc220693085"/>
      <w:r>
        <w:rPr>
          <w:b/>
        </w:rPr>
        <w:t>9.3 Output: Copyrightability</w:t>
      </w:r>
      <w:bookmarkEnd w:id="70"/>
    </w:p>
    <w:p w14:paraId="5CBE3659" w14:textId="77777777" w:rsidR="00A75C8E" w:rsidRDefault="004C556B" w:rsidP="008372DB">
      <w:pPr>
        <w:jc w:val="both"/>
        <w:rPr>
          <w:rFonts w:ascii="Times New Roman" w:hAnsi="Times New Roman" w:cs="Times New Roman"/>
        </w:rPr>
      </w:pPr>
      <w:r>
        <w:rPr>
          <w:rFonts w:ascii="Times New Roman" w:hAnsi="Times New Roman" w:cs="Times New Roman"/>
        </w:rPr>
        <w:t>While I understand and appreciate the Office’s reluctance to accept anything other than human authorship, I think this issue will slowly, but inevitably, result in compromise and accommodation. As AI becomes more widely acknowledged as just another tool, there will be more acceptance of the role that humans play in shaping output. Prompting and other forms of creative input will eventually be deemed to be “human creativity,” albeit as aided by very sophisticated and amazing tools. This may take a few years, but it will happen.</w:t>
      </w:r>
    </w:p>
    <w:p w14:paraId="0837CDE0" w14:textId="77777777" w:rsidR="00A75C8E" w:rsidRDefault="004C556B" w:rsidP="008372DB">
      <w:pPr>
        <w:spacing w:beforeAutospacing="1" w:afterAutospacing="1" w:line="240" w:lineRule="auto"/>
        <w:jc w:val="both"/>
        <w:outlineLvl w:val="2"/>
        <w:rPr>
          <w:rFonts w:ascii="Times New Roman" w:eastAsia="Times New Roman" w:hAnsi="Times New Roman" w:cs="Times New Roman"/>
          <w:b/>
          <w:bCs/>
          <w:kern w:val="0"/>
          <w:sz w:val="27"/>
          <w:szCs w:val="27"/>
          <w14:ligatures w14:val="none"/>
        </w:rPr>
      </w:pPr>
      <w:bookmarkStart w:id="71" w:name="_Toc220693086"/>
      <w:r>
        <w:rPr>
          <w:b/>
        </w:rPr>
        <w:lastRenderedPageBreak/>
        <w:t>9.4 The Newest Building Block</w:t>
      </w:r>
      <w:bookmarkEnd w:id="71"/>
    </w:p>
    <w:p w14:paraId="5FE1C02C" w14:textId="1028458A" w:rsidR="00A75C8E" w:rsidRDefault="004C556B" w:rsidP="008372DB">
      <w:pPr>
        <w:jc w:val="both"/>
        <w:rPr>
          <w:rFonts w:ascii="Times New Roman" w:hAnsi="Times New Roman" w:cs="Times New Roman"/>
        </w:rPr>
      </w:pPr>
      <w:r>
        <w:rPr>
          <w:rFonts w:ascii="Times New Roman" w:hAnsi="Times New Roman" w:cs="Times New Roman"/>
        </w:rPr>
        <w:t>As has always been the case, and as will inevitably always be the case, social values and technology will continue to evolve</w:t>
      </w:r>
      <w:r w:rsidR="00010DB5">
        <w:rPr>
          <w:rFonts w:ascii="Times New Roman" w:hAnsi="Times New Roman" w:cs="Times New Roman"/>
        </w:rPr>
        <w:t xml:space="preserve">, </w:t>
      </w:r>
      <w:r>
        <w:rPr>
          <w:rFonts w:ascii="Times New Roman" w:hAnsi="Times New Roman" w:cs="Times New Roman"/>
        </w:rPr>
        <w:t>and as they evolve, so will the law. Copyright has often been on the cutting edge of technological adaptation. AI may very well be the most significant driver of change that we have ever seen</w:t>
      </w:r>
      <w:r w:rsidR="00010DB5">
        <w:rPr>
          <w:rFonts w:ascii="Times New Roman" w:hAnsi="Times New Roman" w:cs="Times New Roman"/>
        </w:rPr>
        <w:t xml:space="preserve">, </w:t>
      </w:r>
      <w:r>
        <w:rPr>
          <w:rFonts w:ascii="Times New Roman" w:hAnsi="Times New Roman" w:cs="Times New Roman"/>
        </w:rPr>
        <w:t>and it will continue to be so for quite some time. Modifications to copyright law may be one of the easier transitions the law will have to make.</w:t>
      </w:r>
    </w:p>
    <w:p w14:paraId="729641DB" w14:textId="77777777" w:rsidR="00A75C8E" w:rsidRDefault="004C556B" w:rsidP="008372DB">
      <w:pPr>
        <w:jc w:val="both"/>
        <w:rPr>
          <w:rFonts w:ascii="Times New Roman" w:hAnsi="Times New Roman" w:cs="Times New Roman"/>
        </w:rPr>
      </w:pPr>
      <w:r>
        <w:rPr>
          <w:rFonts w:ascii="Times New Roman" w:hAnsi="Times New Roman" w:cs="Times New Roman"/>
        </w:rPr>
        <w:t>I think we will see significant changes in the way data is collected, sourced, cleaned and collated. We will see changes in the way that models are trained. Issues in law are often assisted or solved by changes in technology. Some of these technological changes will solve today’s problems and some will cause tomorrow’s problems.</w:t>
      </w:r>
    </w:p>
    <w:p w14:paraId="096961A7" w14:textId="77777777" w:rsidR="00A75C8E" w:rsidRDefault="004C556B" w:rsidP="008372DB">
      <w:pPr>
        <w:jc w:val="both"/>
        <w:rPr>
          <w:rFonts w:ascii="Times New Roman" w:hAnsi="Times New Roman" w:cs="Times New Roman"/>
        </w:rPr>
      </w:pPr>
      <w:proofErr w:type="gramStart"/>
      <w:r>
        <w:rPr>
          <w:rFonts w:ascii="Times New Roman" w:hAnsi="Times New Roman" w:cs="Times New Roman"/>
        </w:rPr>
        <w:t>Training of</w:t>
      </w:r>
      <w:proofErr w:type="gramEnd"/>
      <w:r>
        <w:rPr>
          <w:rFonts w:ascii="Times New Roman" w:hAnsi="Times New Roman" w:cs="Times New Roman"/>
        </w:rPr>
        <w:t xml:space="preserve"> AI models will become </w:t>
      </w:r>
      <w:proofErr w:type="gramStart"/>
      <w:r>
        <w:rPr>
          <w:rFonts w:ascii="Times New Roman" w:hAnsi="Times New Roman" w:cs="Times New Roman"/>
        </w:rPr>
        <w:t>an accepted</w:t>
      </w:r>
      <w:proofErr w:type="gramEnd"/>
      <w:r>
        <w:rPr>
          <w:rFonts w:ascii="Times New Roman" w:hAnsi="Times New Roman" w:cs="Times New Roman"/>
        </w:rPr>
        <w:t xml:space="preserve"> fair use. It has to be. AI is too powerful an innovation to stop now. It is a societal game-</w:t>
      </w:r>
      <w:proofErr w:type="gramStart"/>
      <w:r>
        <w:rPr>
          <w:rFonts w:ascii="Times New Roman" w:hAnsi="Times New Roman" w:cs="Times New Roman"/>
        </w:rPr>
        <w:t>changer</w:t>
      </w:r>
      <w:proofErr w:type="gramEnd"/>
      <w:r>
        <w:rPr>
          <w:rFonts w:ascii="Times New Roman" w:hAnsi="Times New Roman" w:cs="Times New Roman"/>
        </w:rPr>
        <w:t xml:space="preserve"> and the law will find a way to intelligently and gracefully make the </w:t>
      </w:r>
      <w:proofErr w:type="gramStart"/>
      <w:r>
        <w:rPr>
          <w:rFonts w:ascii="Times New Roman" w:hAnsi="Times New Roman" w:cs="Times New Roman"/>
        </w:rPr>
        <w:t>needed accommodations</w:t>
      </w:r>
      <w:proofErr w:type="gramEnd"/>
      <w:r>
        <w:rPr>
          <w:rFonts w:ascii="Times New Roman" w:hAnsi="Times New Roman" w:cs="Times New Roman"/>
        </w:rPr>
        <w:t>. The Constitutional edict to promote the progress of science and the useful arts is too strong.</w:t>
      </w:r>
    </w:p>
    <w:p w14:paraId="2AD3F725" w14:textId="77777777" w:rsidR="00A75C8E" w:rsidRDefault="004C556B" w:rsidP="008372DB">
      <w:pPr>
        <w:jc w:val="both"/>
        <w:rPr>
          <w:rFonts w:ascii="Times New Roman" w:hAnsi="Times New Roman" w:cs="Times New Roman"/>
        </w:rPr>
      </w:pPr>
      <w:r>
        <w:rPr>
          <w:rFonts w:ascii="Times New Roman" w:hAnsi="Times New Roman" w:cs="Times New Roman"/>
        </w:rPr>
        <w:t xml:space="preserve">A new copyright building block will evolve. It will permit the training of AI models with copyrighted works. Rules will develop for accessing or sourcing materials; a licensing scheme is likely. The idea-expression dichotomy will remain firm. The notion of originality will remain, but human authorship will necessarily become more accepting of machine contributions to human creativity. As AI becomes accepted as merely another tool, humans will use it in creative ways and be able to claim authorship for those creative uses. Substantial similarity will remain a solid building block, but new balancing tests will emerge as the sophistication of the technology increases. Image and music generation will be driving many of these changes with regard to substantial similarity. </w:t>
      </w:r>
      <w:proofErr w:type="gramStart"/>
      <w:r>
        <w:rPr>
          <w:rFonts w:ascii="Times New Roman" w:hAnsi="Times New Roman" w:cs="Times New Roman"/>
        </w:rPr>
        <w:t>Right</w:t>
      </w:r>
      <w:proofErr w:type="gramEnd"/>
      <w:r>
        <w:rPr>
          <w:rFonts w:ascii="Times New Roman" w:hAnsi="Times New Roman" w:cs="Times New Roman"/>
        </w:rPr>
        <w:t xml:space="preserve"> of publicity laws will have to change. A </w:t>
      </w:r>
      <w:proofErr w:type="gramStart"/>
      <w:r>
        <w:rPr>
          <w:rFonts w:ascii="Times New Roman" w:hAnsi="Times New Roman" w:cs="Times New Roman"/>
        </w:rPr>
        <w:t>state by state</w:t>
      </w:r>
      <w:proofErr w:type="gramEnd"/>
      <w:r>
        <w:rPr>
          <w:rFonts w:ascii="Times New Roman" w:hAnsi="Times New Roman" w:cs="Times New Roman"/>
        </w:rPr>
        <w:t xml:space="preserve"> approach with IP-like protection will not be able to co-exist with federal standards for copyright. First Amendment principles will shape some of those changes. </w:t>
      </w:r>
    </w:p>
    <w:p w14:paraId="20BD181E" w14:textId="77777777" w:rsidR="00A75C8E" w:rsidRDefault="004C556B" w:rsidP="008372DB">
      <w:pPr>
        <w:spacing w:beforeAutospacing="1" w:afterAutospacing="1" w:line="240" w:lineRule="auto"/>
        <w:jc w:val="both"/>
        <w:outlineLvl w:val="1"/>
        <w:rPr>
          <w:rFonts w:ascii="Times New Roman" w:eastAsia="Times New Roman" w:hAnsi="Times New Roman" w:cs="Times New Roman"/>
          <w:b/>
          <w:bCs/>
          <w:kern w:val="0"/>
          <w:sz w:val="36"/>
          <w:szCs w:val="36"/>
          <w14:ligatures w14:val="none"/>
        </w:rPr>
      </w:pPr>
      <w:r>
        <w:rPr>
          <w:b/>
        </w:rPr>
        <w:t xml:space="preserve">10 </w:t>
      </w:r>
      <w:bookmarkStart w:id="72" w:name="_Toc220693087"/>
      <w:proofErr w:type="gramStart"/>
      <w:r>
        <w:rPr>
          <w:b/>
        </w:rPr>
        <w:t>CONCLUSION</w:t>
      </w:r>
      <w:bookmarkEnd w:id="67"/>
      <w:bookmarkEnd w:id="72"/>
      <w:proofErr w:type="gramEnd"/>
    </w:p>
    <w:p w14:paraId="1152E9EE" w14:textId="77777777" w:rsidR="00A75C8E" w:rsidRPr="00711863" w:rsidRDefault="004C556B" w:rsidP="008372DB">
      <w:pPr>
        <w:jc w:val="both"/>
        <w:rPr>
          <w:rFonts w:ascii="Times New Roman" w:hAnsi="Times New Roman"/>
          <w14:ligatures w14:val="none"/>
        </w:rPr>
      </w:pPr>
      <w:r>
        <w:rPr>
          <w:rFonts w:ascii="Times New Roman" w:hAnsi="Times New Roman"/>
          <w14:ligatures w14:val="none"/>
        </w:rPr>
        <w:t xml:space="preserve">Copyright law is resilient. It has evolved greatly over the last 250 years. It will continue to evolve. Its building blocks will remain fairly constant. Inevitably, the advancement of technology will require that modifications be made to existing </w:t>
      </w:r>
      <w:proofErr w:type="gramStart"/>
      <w:r>
        <w:rPr>
          <w:rFonts w:ascii="Times New Roman" w:hAnsi="Times New Roman"/>
          <w14:ligatures w14:val="none"/>
        </w:rPr>
        <w:t>law</w:t>
      </w:r>
      <w:proofErr w:type="gramEnd"/>
      <w:r>
        <w:rPr>
          <w:rFonts w:ascii="Times New Roman" w:hAnsi="Times New Roman"/>
          <w14:ligatures w14:val="none"/>
        </w:rPr>
        <w:t xml:space="preserve">. But by and large, there will not be many brand-new, principle-altering changes. The changes will likely fit easily and logically into copyright’s existing frameworks. The sky is not falling. Yes, the world is changing, but there will still be </w:t>
      </w:r>
      <w:proofErr w:type="gramStart"/>
      <w:r>
        <w:rPr>
          <w:rFonts w:ascii="Times New Roman" w:hAnsi="Times New Roman"/>
          <w14:ligatures w14:val="none"/>
        </w:rPr>
        <w:t>a sky</w:t>
      </w:r>
      <w:proofErr w:type="gramEnd"/>
      <w:r>
        <w:rPr>
          <w:rFonts w:ascii="Times New Roman" w:hAnsi="Times New Roman"/>
          <w14:ligatures w14:val="none"/>
        </w:rPr>
        <w:t>.</w:t>
      </w:r>
    </w:p>
    <w:p w14:paraId="34E4F753" w14:textId="77777777" w:rsidR="00A75C8E" w:rsidRPr="00711863" w:rsidRDefault="004C556B" w:rsidP="008372DB">
      <w:pPr>
        <w:jc w:val="both"/>
        <w:rPr>
          <w:rFonts w:ascii="Times New Roman" w:hAnsi="Times New Roman"/>
          <w14:ligatures w14:val="none"/>
        </w:rPr>
      </w:pPr>
      <w:r>
        <w:rPr>
          <w:rFonts w:ascii="Times New Roman" w:hAnsi="Times New Roman"/>
          <w14:ligatures w14:val="none"/>
        </w:rPr>
        <w:t xml:space="preserve">Copyright has been one of the most taxed branches of the law when it comes to new technology. One of the themes of this article is that copyright has been, continues to be, and will be, resilient enough to change with the technologies and values of the day. The basic building blocks of copyright have existed for a long time and have evolved when necessary. New building blocks develop when needed. Another theme of this article is that the more things change, the more they </w:t>
      </w:r>
      <w:r>
        <w:rPr>
          <w:rFonts w:ascii="Times New Roman" w:hAnsi="Times New Roman"/>
          <w14:ligatures w14:val="none"/>
        </w:rPr>
        <w:lastRenderedPageBreak/>
        <w:t>remain the same. We are now at one of the biggest junctures in the history of law and technology. Yes, there are a lot of changes occurring, but the basic legal principles are flexible enough to adapt. We live in exciting times. We are lucky to watch the law adapt and evolve.</w:t>
      </w:r>
      <w:bookmarkEnd w:id="0"/>
    </w:p>
    <w:sectPr w:rsidR="00A75C8E" w:rsidRPr="00711863" w:rsidSect="0071186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C836" w14:textId="77777777" w:rsidR="00392B0A" w:rsidRDefault="00392B0A">
      <w:pPr>
        <w:spacing w:after="0" w:line="240" w:lineRule="auto"/>
      </w:pPr>
      <w:r>
        <w:separator/>
      </w:r>
    </w:p>
  </w:endnote>
  <w:endnote w:type="continuationSeparator" w:id="0">
    <w:p w14:paraId="6ADAB511" w14:textId="77777777" w:rsidR="00392B0A" w:rsidRDefault="0039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B670" w14:textId="77777777" w:rsidR="00A75C8E" w:rsidRDefault="00A75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945508"/>
      <w:docPartObj>
        <w:docPartGallery w:val="Page Numbers (Bottom of Page)"/>
        <w:docPartUnique/>
      </w:docPartObj>
    </w:sdtPr>
    <w:sdtEndPr/>
    <w:sdtContent>
      <w:p w14:paraId="6B8803D9" w14:textId="248C7F99" w:rsidR="00A75C8E" w:rsidRDefault="00101059">
        <w:pPr>
          <w:pStyle w:val="Footer"/>
          <w:jc w:val="center"/>
        </w:pPr>
        <w:r>
          <w:fldChar w:fldCharType="begin"/>
        </w:r>
        <w:r>
          <w:instrText xml:space="preserve"> PAGE </w:instrText>
        </w:r>
        <w:r>
          <w:fldChar w:fldCharType="separate"/>
        </w:r>
        <w:r>
          <w:t>48</w:t>
        </w:r>
        <w:r>
          <w:fldChar w:fldCharType="end"/>
        </w:r>
      </w:p>
    </w:sdtContent>
  </w:sdt>
  <w:p w14:paraId="5C088C26" w14:textId="77777777" w:rsidR="00A75C8E" w:rsidRDefault="00A75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080820"/>
      <w:docPartObj>
        <w:docPartGallery w:val="Page Numbers (Bottom of Page)"/>
        <w:docPartUnique/>
      </w:docPartObj>
    </w:sdtPr>
    <w:sdtEndPr/>
    <w:sdtContent>
      <w:p w14:paraId="1DDD4706" w14:textId="77777777" w:rsidR="00A75C8E" w:rsidRDefault="004C556B">
        <w:pPr>
          <w:pStyle w:val="Footer"/>
          <w:jc w:val="center"/>
        </w:pPr>
        <w:r>
          <w:fldChar w:fldCharType="begin"/>
        </w:r>
        <w:r>
          <w:instrText xml:space="preserve"> PAGE </w:instrText>
        </w:r>
        <w:r>
          <w:fldChar w:fldCharType="separate"/>
        </w:r>
        <w:r>
          <w:t>48</w:t>
        </w:r>
        <w:r>
          <w:fldChar w:fldCharType="end"/>
        </w:r>
      </w:p>
    </w:sdtContent>
  </w:sdt>
  <w:p w14:paraId="4CFA748A" w14:textId="77777777" w:rsidR="00A75C8E" w:rsidRDefault="00A75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C02D" w14:textId="77777777" w:rsidR="00392B0A" w:rsidRDefault="00392B0A" w:rsidP="00097C61">
      <w:r>
        <w:separator/>
      </w:r>
    </w:p>
  </w:footnote>
  <w:footnote w:type="continuationSeparator" w:id="0">
    <w:p w14:paraId="70B9300B" w14:textId="77777777" w:rsidR="00392B0A" w:rsidRDefault="00392B0A" w:rsidP="00097C61">
      <w:r>
        <w:continuationSeparator/>
      </w:r>
    </w:p>
  </w:footnote>
  <w:footnote w:id="1">
    <w:p w14:paraId="6F781E7C" w14:textId="77777777" w:rsidR="001D23AE" w:rsidRDefault="001D23AE" w:rsidP="001D23AE">
      <w:pPr>
        <w:pStyle w:val="FootnoteText"/>
      </w:pPr>
      <w:r w:rsidRPr="00711863">
        <w:rPr>
          <w:rStyle w:val="FootnoteCharacters"/>
        </w:rPr>
        <w:t>*</w:t>
      </w:r>
      <w:r>
        <w:t xml:space="preserve"> Ernest L. Baskin, Jr. Distinguished Professor of Computer Science and Law, Stetson-Hatcher School of Business, Mercer University, Atlanta, Georgia, USA.</w:t>
      </w:r>
    </w:p>
  </w:footnote>
  <w:footnote w:id="2">
    <w:p w14:paraId="5D726E14" w14:textId="77777777" w:rsidR="00A75C8E" w:rsidRDefault="004C556B">
      <w:pPr>
        <w:pStyle w:val="FootnoteText"/>
      </w:pPr>
      <w:r w:rsidRPr="00711863">
        <w:rPr>
          <w:rStyle w:val="FootnoteCharacters"/>
        </w:rPr>
        <w:footnoteRef/>
      </w:r>
      <w:r>
        <w:t xml:space="preserve"> In March 2023, the Copyright Office (“Office”) published changes in the process of applying for a copyright containing any kind of AI-generated material. Copyright Registration Guidance: Works Containing Material Generated by Artificial Intelligence, 88 Fed. Reg. 16,190 (Mar. 16, 2023) [hereinafter Copyright Registration Guidance]. In August 2023, the Office published a Notice of Inquiry, posing a series of questions about copyright and artificial intelligence (“AI”). Artificial Intelligence and Copyright, 88 Fed. Reg. 59,942, 59,948–49 (Aug. 30, 2023) [hereinafter NOI]. In July 2024, it published </w:t>
      </w:r>
      <w:r>
        <w:rPr>
          <w:smallCaps/>
        </w:rPr>
        <w:t>U.S. Copyright Off.</w:t>
      </w:r>
      <w:r>
        <w:t xml:space="preserve">, </w:t>
      </w:r>
      <w:r>
        <w:rPr>
          <w:smallCaps/>
        </w:rPr>
        <w:t>Copyright and Artificial Intelligence, Part 1: Digital Replicas</w:t>
      </w:r>
      <w:r>
        <w:t xml:space="preserve"> (2024) [hereinafter </w:t>
      </w:r>
      <w:r>
        <w:rPr>
          <w:smallCaps/>
        </w:rPr>
        <w:t>Copyright Office: Part 1</w:t>
      </w:r>
      <w:r>
        <w:t xml:space="preserve">]. In January 2025, it published </w:t>
      </w:r>
      <w:r>
        <w:rPr>
          <w:smallCaps/>
        </w:rPr>
        <w:t>U.S. Copyright Off.</w:t>
      </w:r>
      <w:r>
        <w:t xml:space="preserve">, </w:t>
      </w:r>
      <w:r>
        <w:rPr>
          <w:smallCaps/>
        </w:rPr>
        <w:t>Copyright and Artificial Intelligence, Part 2: Copyrightability</w:t>
      </w:r>
      <w:r>
        <w:t xml:space="preserve"> (2025) [hereinafter </w:t>
      </w:r>
      <w:r>
        <w:rPr>
          <w:smallCaps/>
        </w:rPr>
        <w:t>Copyright Office: Part 2</w:t>
      </w:r>
      <w:r>
        <w:t xml:space="preserve">]. And in May 2025, it published a prepublication version of </w:t>
      </w:r>
      <w:r>
        <w:rPr>
          <w:smallCaps/>
        </w:rPr>
        <w:t>U.S. Copyright Off.</w:t>
      </w:r>
      <w:r>
        <w:t xml:space="preserve">, </w:t>
      </w:r>
      <w:r>
        <w:rPr>
          <w:smallCaps/>
        </w:rPr>
        <w:t>Copyright and Artificial Intelligence, Part 3: Generative AI Training</w:t>
      </w:r>
      <w:r>
        <w:t xml:space="preserve"> (prepublication version May 2025) [hereinafter </w:t>
      </w:r>
      <w:r>
        <w:rPr>
          <w:smallCaps/>
        </w:rPr>
        <w:t>Copyright Office: Part 3</w:t>
      </w:r>
      <w:r>
        <w:t xml:space="preserve">]. In </w:t>
      </w:r>
      <w:r>
        <w:rPr>
          <w:smallCaps/>
        </w:rPr>
        <w:t>Copyright Office: Part 2</w:t>
      </w:r>
      <w:r>
        <w:t xml:space="preserve">, the Office set forth several conclusions and recommendations, based on its analysis of copyright law and policy, and reflective of comments it received in response to its NOI: (1) Questions of copyrightability and AI can be resolved pursuant to existing law, without the need for legislative change; (2) The use of AI tools to assist rather than stand in for human creativity does not affect the availability of copyright protection for the output; (3) Copyright protects the original expression in a work created by a human author, even if the work also includes AI-generated material; (4) Copyright does not extend to purely AI-generated material, or material where there is insufficient human control over the expressive elements; (5) Whether human contributions to AI-generated outputs are sufficient to constitute authorship must be analyzed on a case-by-case basis; (6) Based on the functioning of current generally available technology, prompts alone do not provide sufficient control; (7) Human authors are entitled to copyright in their works of authorship that are perceptible in AI-generated outputs, as well as in the creative selection, coordination, or arrangement of material in the outputs, or creative modifications of the outputs; and (8) The case has not been made for additional copyright or sui generis protection for AI-generated content. </w:t>
      </w:r>
      <w:r>
        <w:rPr>
          <w:smallCaps/>
        </w:rPr>
        <w:t>Copyright Office: Part 2</w:t>
      </w:r>
      <w:r>
        <w:t xml:space="preserve">, </w:t>
      </w:r>
      <w:r>
        <w:rPr>
          <w:i/>
          <w:iCs/>
        </w:rPr>
        <w:t>supra</w:t>
      </w:r>
      <w:r>
        <w:t xml:space="preserve">, at iii. For an excellent and detailed discussion about how generative AI works, </w:t>
      </w:r>
      <w:r>
        <w:rPr>
          <w:i/>
          <w:iCs/>
        </w:rPr>
        <w:t>see</w:t>
      </w:r>
      <w:r>
        <w:t xml:space="preserve"> Katherine Lee, A. Feder Cooper &amp; James Grimmelmann, </w:t>
      </w:r>
      <w:r>
        <w:rPr>
          <w:i/>
        </w:rPr>
        <w:t xml:space="preserve">Talkin’ </w:t>
      </w:r>
      <w:r>
        <w:rPr>
          <w:i/>
          <w:iCs/>
        </w:rPr>
        <w:t>’Bout</w:t>
      </w:r>
      <w:r>
        <w:rPr>
          <w:i/>
        </w:rPr>
        <w:t xml:space="preserve"> AI Generation: Copyright and the Generative-AI Supply Chain</w:t>
      </w:r>
      <w:r>
        <w:t xml:space="preserve">, 72 </w:t>
      </w:r>
      <w:r>
        <w:rPr>
          <w:smallCaps/>
        </w:rPr>
        <w:t>J. Copyright Soc’y</w:t>
      </w:r>
      <w:r>
        <w:t xml:space="preserve"> 251, 255–307 (2025).</w:t>
      </w:r>
    </w:p>
  </w:footnote>
  <w:footnote w:id="3">
    <w:p w14:paraId="09F5ECB4" w14:textId="77777777" w:rsidR="00A75C8E" w:rsidRDefault="004C556B">
      <w:pPr>
        <w:pStyle w:val="FootnoteText"/>
      </w:pPr>
      <w:r w:rsidRPr="00711863">
        <w:rPr>
          <w:rStyle w:val="FootnoteCharacters"/>
        </w:rPr>
        <w:footnoteRef/>
      </w:r>
      <w:r>
        <w:t xml:space="preserve"> Jordan M. Blanke, </w:t>
      </w:r>
      <w:r>
        <w:rPr>
          <w:i/>
        </w:rPr>
        <w:t>No Doubt About It – You’ve Got to Have Hart: Simulation Video Games May Redefine the Balance Between and Among the Right of Publicity, the First Amendment, and Copyright Law</w:t>
      </w:r>
      <w:r>
        <w:t xml:space="preserve">, 19 </w:t>
      </w:r>
      <w:r>
        <w:rPr>
          <w:smallCaps/>
        </w:rPr>
        <w:t>B.U. J. Sci. &amp; Tech. L.</w:t>
      </w:r>
      <w:r>
        <w:t xml:space="preserve"> 26 (2013); </w:t>
      </w:r>
      <w:r>
        <w:rPr>
          <w:i/>
          <w:iCs/>
        </w:rPr>
        <w:t>see</w:t>
      </w:r>
      <w:r>
        <w:rPr>
          <w:i/>
        </w:rPr>
        <w:t xml:space="preserve"> </w:t>
      </w:r>
      <w:r>
        <w:rPr>
          <w:i/>
          <w:iCs/>
        </w:rPr>
        <w:t>also</w:t>
      </w:r>
      <w:r>
        <w:t xml:space="preserve"> L. Ray Patterson’s classic, L. Ray Patterson, </w:t>
      </w:r>
      <w:r>
        <w:rPr>
          <w:i/>
        </w:rPr>
        <w:t>Free Speech</w:t>
      </w:r>
      <w:r>
        <w:rPr>
          <w:i/>
          <w:iCs/>
        </w:rPr>
        <w:t>,</w:t>
      </w:r>
      <w:r>
        <w:rPr>
          <w:i/>
        </w:rPr>
        <w:t xml:space="preserve"> Copyright, and Fair Use</w:t>
      </w:r>
      <w:r>
        <w:t xml:space="preserve">, 40 </w:t>
      </w:r>
      <w:r>
        <w:rPr>
          <w:smallCaps/>
        </w:rPr>
        <w:t>Vand. L. Rev.</w:t>
      </w:r>
      <w:r>
        <w:t xml:space="preserve"> 1 (1987) (exploring the history of the copyright clause, free speech, and fair use).</w:t>
      </w:r>
    </w:p>
  </w:footnote>
  <w:footnote w:id="4">
    <w:p w14:paraId="3A867D66" w14:textId="77777777" w:rsidR="00A75C8E" w:rsidRDefault="004C556B">
      <w:pPr>
        <w:pStyle w:val="FootnoteText"/>
      </w:pPr>
      <w:r w:rsidRPr="00711863">
        <w:rPr>
          <w:rStyle w:val="FootnoteCharacters"/>
        </w:rPr>
        <w:footnoteRef/>
      </w:r>
      <w:r>
        <w:t xml:space="preserve"> </w:t>
      </w:r>
      <w:r>
        <w:rPr>
          <w:i/>
          <w:iCs/>
        </w:rPr>
        <w:t>See</w:t>
      </w:r>
      <w:r>
        <w:rPr>
          <w:i/>
        </w:rPr>
        <w:t xml:space="preserve"> </w:t>
      </w:r>
      <w:r>
        <w:rPr>
          <w:i/>
          <w:iCs/>
        </w:rPr>
        <w:t>generally</w:t>
      </w:r>
      <w:r>
        <w:t xml:space="preserve"> Baker v. Selden, 101 U.S. 99 (1879); Feist </w:t>
      </w:r>
      <w:proofErr w:type="spellStart"/>
      <w:r>
        <w:t>Publ’ns</w:t>
      </w:r>
      <w:proofErr w:type="spellEnd"/>
      <w:r>
        <w:t xml:space="preserve">, Inc. v. Rural Tel. Serv. Co., 499 U.S. 340 (1991); Atari, Inc. v. N. Am. Philips Consumer Elecs. Corp., 672 F.2d 607 (7th Cir. 1982); Campbell v. Acuff-Rose Music, Inc., 510 U.S. 569 (1994); Kirby v. Sega of Am., Inc., 144 Cal. App. 4th 47 (2006); </w:t>
      </w:r>
      <w:bookmarkStart w:id="1" w:name="_Hlk219650925_Copy_1"/>
      <w:bookmarkStart w:id="2" w:name="_Hlk219650925"/>
      <w:r>
        <w:t>Comedy III Prods., Inc. v. Gary Saderup, Inc.</w:t>
      </w:r>
      <w:bookmarkEnd w:id="1"/>
      <w:bookmarkEnd w:id="2"/>
      <w:r>
        <w:t xml:space="preserve">, 25 Cal. 4th 387 (2001); No Doubt v. Activision Publ’g, Inc., 192 Cal. App. 4th 1018 (2011); Andy Warhol Found. for the Visual Arts, Inc. v. Goldsmith, 598 U.S. 508 (2023); Burrow-Giles Lithographic Co. v. </w:t>
      </w:r>
      <w:proofErr w:type="spellStart"/>
      <w:r>
        <w:t>Sarony</w:t>
      </w:r>
      <w:proofErr w:type="spellEnd"/>
      <w:r>
        <w:t xml:space="preserve">, 111 U.S. 53 (1884); Naruto v. Slater, 888 F.3d 418, 420–26 (9th Cir. 2018); Thaler v. Perlmutter, 687 F. Supp. 3d 140 (D.D.C. 2023); Williams v. Gaye, 885 F.3d 1150 (9th Cir. 2018); Griffin v. Sheeran, No. 1:17-cv-05221 (S.D.N.Y. May 4, 2023) (jury verdict); Structured Asset Sales, LLC v. Sheeran, 120 F.4th 1066 (2d Cir. 2024); NOI, </w:t>
      </w:r>
      <w:r>
        <w:rPr>
          <w:i/>
          <w:iCs/>
        </w:rPr>
        <w:t>supra</w:t>
      </w:r>
      <w:r>
        <w:t xml:space="preserve"> note 1; </w:t>
      </w:r>
      <w:r>
        <w:rPr>
          <w:smallCaps/>
        </w:rPr>
        <w:t>Copyright Office: Part 1</w:t>
      </w:r>
      <w:r>
        <w:t xml:space="preserve">, </w:t>
      </w:r>
      <w:r>
        <w:rPr>
          <w:i/>
          <w:iCs/>
        </w:rPr>
        <w:t>supra</w:t>
      </w:r>
      <w:r>
        <w:t xml:space="preserve"> note 1; </w:t>
      </w:r>
      <w:r>
        <w:rPr>
          <w:smallCaps/>
        </w:rPr>
        <w:t>Copyright Office: Part 2</w:t>
      </w:r>
      <w:r>
        <w:t xml:space="preserve">, </w:t>
      </w:r>
      <w:r>
        <w:rPr>
          <w:i/>
          <w:iCs/>
        </w:rPr>
        <w:t>supra</w:t>
      </w:r>
      <w:r>
        <w:t xml:space="preserve"> note 1; </w:t>
      </w:r>
      <w:r>
        <w:rPr>
          <w:smallCaps/>
        </w:rPr>
        <w:t>Copyright Office: Part 3</w:t>
      </w:r>
      <w:r>
        <w:t xml:space="preserve">, </w:t>
      </w:r>
      <w:r>
        <w:rPr>
          <w:i/>
          <w:iCs/>
        </w:rPr>
        <w:t>supra</w:t>
      </w:r>
      <w:r>
        <w:t xml:space="preserve"> note 1.</w:t>
      </w:r>
    </w:p>
  </w:footnote>
  <w:footnote w:id="5">
    <w:p w14:paraId="54857AE2" w14:textId="77777777" w:rsidR="00A75C8E" w:rsidRDefault="004C556B">
      <w:pPr>
        <w:pStyle w:val="FootnoteText"/>
      </w:pPr>
      <w:r w:rsidRPr="00711863">
        <w:rPr>
          <w:rStyle w:val="FootnoteCharacters"/>
        </w:rPr>
        <w:footnoteRef/>
      </w:r>
      <w:r>
        <w:t xml:space="preserve"> Baker v. Selden, 101 U.S. 99 (1879) (drawing distinction between idea and expression and holding that a system of bookkeeping methods was not copyrightable).</w:t>
      </w:r>
    </w:p>
  </w:footnote>
  <w:footnote w:id="6">
    <w:p w14:paraId="1FC81F39" w14:textId="77777777" w:rsidR="00A75C8E" w:rsidRDefault="004C556B">
      <w:pPr>
        <w:pStyle w:val="FootnoteText"/>
      </w:pPr>
      <w:r w:rsidRPr="00711863">
        <w:rPr>
          <w:rStyle w:val="FootnoteCharacters"/>
        </w:rPr>
        <w:footnoteRef/>
      </w:r>
      <w:r>
        <w:t xml:space="preserve"> </w:t>
      </w:r>
      <w:r>
        <w:rPr>
          <w:i/>
          <w:iCs/>
        </w:rPr>
        <w:t>Id.</w:t>
      </w:r>
      <w:r>
        <w:t xml:space="preserve"> at 102–04.</w:t>
      </w:r>
    </w:p>
  </w:footnote>
  <w:footnote w:id="7">
    <w:p w14:paraId="5B628F7E" w14:textId="77777777" w:rsidR="00A75C8E" w:rsidRDefault="004C556B">
      <w:pPr>
        <w:pStyle w:val="FootnoteText"/>
      </w:pPr>
      <w:r w:rsidRPr="00711863">
        <w:rPr>
          <w:rStyle w:val="FootnoteCharacters"/>
        </w:rPr>
        <w:footnoteRef/>
      </w:r>
      <w:r>
        <w:t xml:space="preserve"> Nichols v. Universal Pictures Corp., 45 F.2d 119, 121 (2d Cir. 1930) (Hand, J.) (holding that a movie did not infringe the copyright of a play despite many similarities; only the idea was copied, not the expression).</w:t>
      </w:r>
    </w:p>
  </w:footnote>
  <w:footnote w:id="8">
    <w:p w14:paraId="6F27C10B" w14:textId="77777777" w:rsidR="00A75C8E" w:rsidRDefault="004C556B">
      <w:pPr>
        <w:pStyle w:val="FootnoteText"/>
      </w:pPr>
      <w:r w:rsidRPr="00711863">
        <w:rPr>
          <w:rStyle w:val="FootnoteCharacters"/>
        </w:rPr>
        <w:footnoteRef/>
      </w:r>
      <w:r>
        <w:t xml:space="preserve"> </w:t>
      </w:r>
      <w:r>
        <w:rPr>
          <w:i/>
          <w:iCs/>
        </w:rPr>
        <w:t>See,</w:t>
      </w:r>
      <w:r>
        <w:rPr>
          <w:i/>
        </w:rPr>
        <w:t xml:space="preserve"> e.g.</w:t>
      </w:r>
      <w:r>
        <w:t xml:space="preserve">, Apple </w:t>
      </w:r>
      <w:proofErr w:type="spellStart"/>
      <w:r>
        <w:t>Comput</w:t>
      </w:r>
      <w:proofErr w:type="spellEnd"/>
      <w:r>
        <w:t xml:space="preserve">., Inc. v. Microsoft Corp., 35 F.3d 1435 (9th Cir. 1994) (providing only thin protection for largely functional GUI elements); Satava v. Lowry, 323 F.3d 805, 810 (9th Cir. 2003) (limiting protection where </w:t>
      </w:r>
      <w:proofErr w:type="spellStart"/>
      <w:r>
        <w:t>scènes</w:t>
      </w:r>
      <w:proofErr w:type="spellEnd"/>
      <w:r>
        <w:t xml:space="preserve"> à faire and ideas predominate).</w:t>
      </w:r>
    </w:p>
  </w:footnote>
  <w:footnote w:id="9">
    <w:p w14:paraId="6325AEE4" w14:textId="77777777" w:rsidR="00A75C8E" w:rsidRDefault="004C556B">
      <w:pPr>
        <w:pStyle w:val="FootnoteText"/>
      </w:pPr>
      <w:r w:rsidRPr="00711863">
        <w:rPr>
          <w:rStyle w:val="FootnoteCharacters"/>
        </w:rPr>
        <w:footnoteRef/>
      </w:r>
      <w:r>
        <w:t xml:space="preserve"> </w:t>
      </w:r>
      <w:bookmarkStart w:id="7" w:name="_Hlk218689980_Copy_1"/>
      <w:bookmarkStart w:id="8" w:name="_Hlk218689980"/>
      <w:r>
        <w:t xml:space="preserve">Feist </w:t>
      </w:r>
      <w:proofErr w:type="spellStart"/>
      <w:r>
        <w:t>Publ’ns</w:t>
      </w:r>
      <w:proofErr w:type="spellEnd"/>
      <w:r>
        <w:t>, Inc. v. Rural Tel. Serv. Co., 499 U.S. 340, 344–47 (1991)</w:t>
      </w:r>
      <w:bookmarkEnd w:id="7"/>
      <w:bookmarkEnd w:id="8"/>
      <w:r>
        <w:t xml:space="preserve"> (facts are not copyrightable), 346 (copyright requiring a “modicum of creativity”), 352–55 (rejecting the “sweat of the brow” doctrine).</w:t>
      </w:r>
    </w:p>
  </w:footnote>
  <w:footnote w:id="10">
    <w:p w14:paraId="37B3503F" w14:textId="77777777" w:rsidR="00A75C8E" w:rsidRDefault="004C556B">
      <w:pPr>
        <w:pStyle w:val="FootnoteText"/>
      </w:pPr>
      <w:r w:rsidRPr="00711863">
        <w:rPr>
          <w:rStyle w:val="FootnoteCharacters"/>
        </w:rPr>
        <w:footnoteRef/>
      </w:r>
      <w:r>
        <w:t xml:space="preserve"> </w:t>
      </w:r>
      <w:r>
        <w:rPr>
          <w:i/>
          <w:iCs/>
        </w:rPr>
        <w:t>Id.</w:t>
      </w:r>
      <w:r>
        <w:t xml:space="preserve"> at 349.</w:t>
      </w:r>
    </w:p>
  </w:footnote>
  <w:footnote w:id="11">
    <w:p w14:paraId="751A5E8B" w14:textId="77777777" w:rsidR="00A75C8E" w:rsidRDefault="004C556B">
      <w:pPr>
        <w:pStyle w:val="FootnoteText"/>
      </w:pPr>
      <w:r w:rsidRPr="00711863">
        <w:rPr>
          <w:rStyle w:val="FootnoteCharacters"/>
        </w:rPr>
        <w:footnoteRef/>
      </w:r>
      <w:r>
        <w:t xml:space="preserve"> </w:t>
      </w:r>
      <w:r>
        <w:rPr>
          <w:i/>
          <w:iCs/>
        </w:rPr>
        <w:t>See</w:t>
      </w:r>
      <w:r>
        <w:t xml:space="preserve"> </w:t>
      </w:r>
      <w:r>
        <w:rPr>
          <w:i/>
        </w:rPr>
        <w:t>Feist</w:t>
      </w:r>
      <w:r>
        <w:t xml:space="preserve">, 499 U.S. at 349 (“The primary objective of copyright is not to reward the labor of authors, but ‘[t]o </w:t>
      </w:r>
      <w:proofErr w:type="gramStart"/>
      <w:r>
        <w:t>promote</w:t>
      </w:r>
      <w:proofErr w:type="gramEnd"/>
      <w:r>
        <w:t xml:space="preserve"> the Progress of Science and useful Arts.’”).</w:t>
      </w:r>
    </w:p>
  </w:footnote>
  <w:footnote w:id="12">
    <w:p w14:paraId="0FA9FCA6" w14:textId="77777777" w:rsidR="00A75C8E" w:rsidRDefault="004C556B">
      <w:pPr>
        <w:pStyle w:val="FootnoteText"/>
      </w:pPr>
      <w:r w:rsidRPr="00711863">
        <w:rPr>
          <w:rStyle w:val="FootnoteCharacters"/>
        </w:rPr>
        <w:footnoteRef/>
      </w:r>
      <w:r>
        <w:t xml:space="preserve"> 17 U.S.C. § 101 (defining “derivative work”).</w:t>
      </w:r>
    </w:p>
  </w:footnote>
  <w:footnote w:id="13">
    <w:p w14:paraId="074E336A" w14:textId="77777777" w:rsidR="00A75C8E" w:rsidRDefault="004C556B">
      <w:pPr>
        <w:pStyle w:val="FootnoteText"/>
      </w:pPr>
      <w:r w:rsidRPr="00711863">
        <w:rPr>
          <w:rStyle w:val="FootnoteCharacters"/>
        </w:rPr>
        <w:footnoteRef/>
      </w:r>
      <w:r>
        <w:t xml:space="preserve"> </w:t>
      </w:r>
      <w:r>
        <w:rPr>
          <w:i/>
          <w:iCs/>
        </w:rPr>
        <w:t>See</w:t>
      </w:r>
      <w:r>
        <w:rPr>
          <w:i/>
        </w:rPr>
        <w:t xml:space="preserve"> </w:t>
      </w:r>
      <w:proofErr w:type="gramStart"/>
      <w:r>
        <w:rPr>
          <w:i/>
          <w:iCs/>
        </w:rPr>
        <w:t>infra</w:t>
      </w:r>
      <w:r>
        <w:t xml:space="preserve"> Part</w:t>
      </w:r>
      <w:proofErr w:type="gramEnd"/>
      <w:r>
        <w:t xml:space="preserve"> 5.</w:t>
      </w:r>
    </w:p>
  </w:footnote>
  <w:footnote w:id="14">
    <w:p w14:paraId="5E172B71" w14:textId="77777777" w:rsidR="00A75C8E" w:rsidRDefault="004C556B">
      <w:pPr>
        <w:pStyle w:val="FootnoteText"/>
      </w:pPr>
      <w:r w:rsidRPr="00711863">
        <w:rPr>
          <w:rStyle w:val="FootnoteCharacters"/>
        </w:rPr>
        <w:footnoteRef/>
      </w:r>
      <w:r>
        <w:t xml:space="preserve"> </w:t>
      </w:r>
      <w:r>
        <w:rPr>
          <w:i/>
        </w:rPr>
        <w:t>Feist</w:t>
      </w:r>
      <w:r>
        <w:t>, 499 U.S. at 340.</w:t>
      </w:r>
    </w:p>
  </w:footnote>
  <w:footnote w:id="15">
    <w:p w14:paraId="39EA8842" w14:textId="77777777" w:rsidR="00A75C8E" w:rsidRDefault="004C556B">
      <w:pPr>
        <w:pStyle w:val="FootnoteText"/>
      </w:pPr>
      <w:r w:rsidRPr="00711863">
        <w:rPr>
          <w:rStyle w:val="FootnoteCharacters"/>
        </w:rPr>
        <w:footnoteRef/>
      </w:r>
      <w:r>
        <w:t xml:space="preserve"> </w:t>
      </w:r>
      <w:r>
        <w:rPr>
          <w:i/>
          <w:iCs/>
        </w:rPr>
        <w:t>Id.</w:t>
      </w:r>
      <w:r>
        <w:t xml:space="preserve"> at 344–45; </w:t>
      </w:r>
      <w:r>
        <w:rPr>
          <w:i/>
          <w:iCs/>
        </w:rPr>
        <w:t>id.</w:t>
      </w:r>
      <w:r>
        <w:t xml:space="preserve"> at 347 (“Facts do not owe their origin to an act of authorship.”).</w:t>
      </w:r>
    </w:p>
  </w:footnote>
  <w:footnote w:id="16">
    <w:p w14:paraId="757A2FA1" w14:textId="77777777" w:rsidR="00A75C8E" w:rsidRDefault="004C556B">
      <w:pPr>
        <w:pStyle w:val="FootnoteText"/>
      </w:pPr>
      <w:r w:rsidRPr="00711863">
        <w:rPr>
          <w:rStyle w:val="FootnoteCharacters"/>
        </w:rPr>
        <w:footnoteRef/>
      </w:r>
      <w:r>
        <w:t xml:space="preserve"> </w:t>
      </w:r>
      <w:r>
        <w:rPr>
          <w:i/>
          <w:iCs/>
        </w:rPr>
        <w:t>Id.</w:t>
      </w:r>
      <w:r>
        <w:t xml:space="preserve"> at 349; Jordan M. Blanke, </w:t>
      </w:r>
      <w:r>
        <w:rPr>
          <w:i/>
          <w:iCs/>
        </w:rPr>
        <w:t>Vincent van Gogh, “Sweat of the Brow,” and Database Protection</w:t>
      </w:r>
      <w:r>
        <w:t xml:space="preserve">, 39 </w:t>
      </w:r>
      <w:r>
        <w:rPr>
          <w:smallCaps/>
        </w:rPr>
        <w:t>Am. Bus. L.J.</w:t>
      </w:r>
      <w:r>
        <w:t xml:space="preserve"> 645, 655–56 (2002) (discussing original selection or arrangement).</w:t>
      </w:r>
    </w:p>
  </w:footnote>
  <w:footnote w:id="17">
    <w:p w14:paraId="6B8223A7" w14:textId="77777777" w:rsidR="00A75C8E" w:rsidRDefault="004C556B">
      <w:pPr>
        <w:pStyle w:val="FootnoteText"/>
      </w:pPr>
      <w:r w:rsidRPr="00711863">
        <w:rPr>
          <w:rStyle w:val="FootnoteCharacters"/>
        </w:rPr>
        <w:footnoteRef/>
      </w:r>
      <w:r>
        <w:t xml:space="preserve"> </w:t>
      </w:r>
      <w:r>
        <w:rPr>
          <w:i/>
          <w:iCs/>
        </w:rPr>
        <w:t>Feist</w:t>
      </w:r>
      <w:r>
        <w:t>, 499 U.S. at 362–63.</w:t>
      </w:r>
    </w:p>
  </w:footnote>
  <w:footnote w:id="18">
    <w:p w14:paraId="7A9EBAB8" w14:textId="77777777" w:rsidR="00A75C8E" w:rsidRDefault="004C556B">
      <w:pPr>
        <w:pStyle w:val="FootnoteText"/>
      </w:pPr>
      <w:r w:rsidRPr="00711863">
        <w:rPr>
          <w:rStyle w:val="FootnoteCharacters"/>
        </w:rPr>
        <w:footnoteRef/>
      </w:r>
      <w:r>
        <w:t xml:space="preserve"> </w:t>
      </w:r>
      <w:r>
        <w:rPr>
          <w:i/>
          <w:iCs/>
        </w:rPr>
        <w:t>Feist</w:t>
      </w:r>
      <w:r>
        <w:t xml:space="preserve">, 499 U.S. at 349–50 (quoting </w:t>
      </w:r>
      <w:r>
        <w:rPr>
          <w:smallCaps/>
        </w:rPr>
        <w:t>U.S. Const.</w:t>
      </w:r>
      <w:r>
        <w:t xml:space="preserve"> art. I, § 8, cl. 8); </w:t>
      </w:r>
      <w:r>
        <w:rPr>
          <w:i/>
          <w:iCs/>
        </w:rPr>
        <w:t>see</w:t>
      </w:r>
      <w:r>
        <w:t xml:space="preserve"> Pamela Samuelson, </w:t>
      </w:r>
      <w:r>
        <w:rPr>
          <w:i/>
          <w:iCs/>
        </w:rPr>
        <w:t>Copyright and Freedom of Expression in Historical Perspective</w:t>
      </w:r>
      <w:r>
        <w:t xml:space="preserve">, 10 </w:t>
      </w:r>
      <w:r>
        <w:rPr>
          <w:smallCaps/>
        </w:rPr>
        <w:t>J. Intell. Prop. L.</w:t>
      </w:r>
      <w:r>
        <w:t xml:space="preserve"> 319, 333 (2003) (stating that </w:t>
      </w:r>
      <w:r>
        <w:rPr>
          <w:i/>
        </w:rPr>
        <w:t>Feist</w:t>
      </w:r>
      <w:r>
        <w:t xml:space="preserve"> reaffirmed “the modern conception of ‘originality’ as a meaningful limitation on the rights of publishers to claim copyright”).</w:t>
      </w:r>
    </w:p>
  </w:footnote>
  <w:footnote w:id="19">
    <w:p w14:paraId="366E2B31" w14:textId="77777777" w:rsidR="00A75C8E" w:rsidRDefault="004C556B">
      <w:pPr>
        <w:pStyle w:val="FootnoteText"/>
      </w:pPr>
      <w:r w:rsidRPr="00711863">
        <w:rPr>
          <w:rStyle w:val="FootnoteCharacters"/>
        </w:rPr>
        <w:footnoteRef/>
      </w:r>
      <w:r>
        <w:t xml:space="preserve"> </w:t>
      </w:r>
      <w:r>
        <w:rPr>
          <w:i/>
        </w:rPr>
        <w:t>Compare</w:t>
      </w:r>
      <w:r>
        <w:t xml:space="preserve"> Directive 96/9/EC of the European Parliament and of the Council of 11 March 1996 on the Legal Protection of Databases, 1996 O.J. (L 77) 20 (EC) (establishing a sui generis right for substantial investment in data collection), </w:t>
      </w:r>
      <w:r>
        <w:rPr>
          <w:i/>
        </w:rPr>
        <w:t>with</w:t>
      </w:r>
      <w:r>
        <w:t xml:space="preserve"> H.R. Rep. No. 105-525, at 5–7 (1998) (declining adoption of a sui generis database right post-</w:t>
      </w:r>
      <w:r>
        <w:rPr>
          <w:i/>
        </w:rPr>
        <w:t>Feist</w:t>
      </w:r>
      <w:r>
        <w:t>).</w:t>
      </w:r>
    </w:p>
  </w:footnote>
  <w:footnote w:id="20">
    <w:p w14:paraId="3B7BC481" w14:textId="77777777" w:rsidR="00A75C8E" w:rsidRDefault="004C556B">
      <w:pPr>
        <w:pStyle w:val="FootnoteText"/>
      </w:pPr>
      <w:r w:rsidRPr="00711863">
        <w:rPr>
          <w:rStyle w:val="FootnoteCharacters"/>
        </w:rPr>
        <w:footnoteRef/>
      </w:r>
      <w:r>
        <w:t xml:space="preserve"> </w:t>
      </w:r>
      <w:r>
        <w:rPr>
          <w:smallCaps/>
        </w:rPr>
        <w:t>Copyright Office: Part 2</w:t>
      </w:r>
      <w:r>
        <w:t xml:space="preserve">, </w:t>
      </w:r>
      <w:r>
        <w:rPr>
          <w:i/>
          <w:iCs/>
        </w:rPr>
        <w:t>supra</w:t>
      </w:r>
      <w:r>
        <w:t xml:space="preserve"> note 1.</w:t>
      </w:r>
    </w:p>
  </w:footnote>
  <w:footnote w:id="21">
    <w:p w14:paraId="162E4A34" w14:textId="77777777" w:rsidR="00A75C8E" w:rsidRDefault="004C556B">
      <w:pPr>
        <w:pStyle w:val="FootnoteText"/>
      </w:pPr>
      <w:r w:rsidRPr="00711863">
        <w:rPr>
          <w:rStyle w:val="FootnoteCharacters"/>
        </w:rPr>
        <w:footnoteRef/>
      </w:r>
      <w:r>
        <w:t xml:space="preserve"> </w:t>
      </w:r>
      <w:r>
        <w:rPr>
          <w:smallCaps/>
        </w:rPr>
        <w:t>Copyright Office: Part 2</w:t>
      </w:r>
      <w:r>
        <w:t xml:space="preserve">, </w:t>
      </w:r>
      <w:r>
        <w:rPr>
          <w:i/>
          <w:iCs/>
        </w:rPr>
        <w:t>supra</w:t>
      </w:r>
      <w:r>
        <w:t xml:space="preserve"> note 1, at 41.</w:t>
      </w:r>
    </w:p>
  </w:footnote>
  <w:footnote w:id="22">
    <w:p w14:paraId="08E16F5B" w14:textId="77777777" w:rsidR="00A75C8E" w:rsidRDefault="004C556B">
      <w:pPr>
        <w:pStyle w:val="FootnoteText"/>
      </w:pPr>
      <w:r w:rsidRPr="00711863">
        <w:rPr>
          <w:rStyle w:val="FootnoteCharacters"/>
        </w:rPr>
        <w:footnoteRef/>
      </w:r>
      <w:r>
        <w:t xml:space="preserve"> </w:t>
      </w:r>
      <w:r>
        <w:rPr>
          <w:smallCaps/>
        </w:rPr>
        <w:t>Copyright Office: Part 2</w:t>
      </w:r>
      <w:r>
        <w:t xml:space="preserve">, </w:t>
      </w:r>
      <w:r>
        <w:rPr>
          <w:i/>
          <w:iCs/>
        </w:rPr>
        <w:t>supra</w:t>
      </w:r>
      <w:r>
        <w:t xml:space="preserve"> note 1, at 24–27; </w:t>
      </w:r>
      <w:r>
        <w:rPr>
          <w:smallCaps/>
        </w:rPr>
        <w:t>Copyright Office: Part 3</w:t>
      </w:r>
      <w:r>
        <w:t xml:space="preserve">, </w:t>
      </w:r>
      <w:r>
        <w:rPr>
          <w:i/>
          <w:iCs/>
        </w:rPr>
        <w:t>supra</w:t>
      </w:r>
      <w:r>
        <w:t xml:space="preserve"> note 1, at 63.</w:t>
      </w:r>
    </w:p>
  </w:footnote>
  <w:footnote w:id="23">
    <w:p w14:paraId="4B79ADF4" w14:textId="77777777" w:rsidR="00A75C8E" w:rsidRDefault="004C556B">
      <w:pPr>
        <w:pStyle w:val="FootnoteText"/>
      </w:pPr>
      <w:r w:rsidRPr="00711863">
        <w:rPr>
          <w:rStyle w:val="FootnoteCharacters"/>
        </w:rPr>
        <w:footnoteRef/>
      </w:r>
      <w:r>
        <w:t xml:space="preserve"> 17 U.S.C. § 102(b); </w:t>
      </w:r>
      <w:r>
        <w:rPr>
          <w:i/>
        </w:rPr>
        <w:t>see also</w:t>
      </w:r>
      <w:r>
        <w:t xml:space="preserve"> Baker v. Selden, 101 U.S. 99, 103–04 (1879).</w:t>
      </w:r>
    </w:p>
  </w:footnote>
  <w:footnote w:id="24">
    <w:p w14:paraId="161356D0" w14:textId="77777777" w:rsidR="00A75C8E" w:rsidRDefault="004C556B">
      <w:pPr>
        <w:pStyle w:val="FootnoteText"/>
      </w:pPr>
      <w:r w:rsidRPr="00711863">
        <w:rPr>
          <w:rStyle w:val="FootnoteCharacters"/>
        </w:rPr>
        <w:footnoteRef/>
      </w:r>
      <w:r>
        <w:t xml:space="preserve"> Burrow-Giles Lithographic Co. v. </w:t>
      </w:r>
      <w:proofErr w:type="spellStart"/>
      <w:r>
        <w:t>Sarony</w:t>
      </w:r>
      <w:proofErr w:type="spellEnd"/>
      <w:r>
        <w:t>, 111 U.S. 53, 57–60 (1884).</w:t>
      </w:r>
    </w:p>
  </w:footnote>
  <w:footnote w:id="25">
    <w:p w14:paraId="7EF635FC" w14:textId="77777777" w:rsidR="00A75C8E" w:rsidRDefault="004C556B">
      <w:pPr>
        <w:pStyle w:val="FootnoteText"/>
      </w:pPr>
      <w:r w:rsidRPr="00711863">
        <w:rPr>
          <w:rStyle w:val="FootnoteCharacters"/>
        </w:rPr>
        <w:footnoteRef/>
      </w:r>
      <w:r>
        <w:t xml:space="preserve"> </w:t>
      </w:r>
      <w:r>
        <w:rPr>
          <w:i/>
          <w:iCs/>
        </w:rPr>
        <w:t>Id</w:t>
      </w:r>
      <w:r>
        <w:rPr>
          <w:i/>
        </w:rPr>
        <w:t>.</w:t>
      </w:r>
      <w:r>
        <w:t xml:space="preserve"> at 60–61.</w:t>
      </w:r>
    </w:p>
  </w:footnote>
  <w:footnote w:id="26">
    <w:p w14:paraId="46820F3D" w14:textId="6CDFE6BE" w:rsidR="00A75C8E" w:rsidRDefault="004C556B">
      <w:pPr>
        <w:pStyle w:val="FootnoteText"/>
      </w:pPr>
      <w:r w:rsidRPr="00711863">
        <w:rPr>
          <w:rStyle w:val="FootnoteCharacters"/>
        </w:rPr>
        <w:footnoteRef/>
      </w:r>
      <w:r>
        <w:t xml:space="preserve"> Thaler v. Perlmutter, 687 F. Supp. 3d 140, 146 (D.D.C. 2023) (holding that copyright protection extends only to human-created works and that a computer-generated image lacking human authorship is not registrable), </w:t>
      </w:r>
      <w:r>
        <w:rPr>
          <w:i/>
          <w:iCs/>
        </w:rPr>
        <w:t>aff’d</w:t>
      </w:r>
      <w:r>
        <w:t>, 130 F.4th 1039 (D.C. Cir. 2025).</w:t>
      </w:r>
    </w:p>
  </w:footnote>
  <w:footnote w:id="27">
    <w:p w14:paraId="068F7965" w14:textId="77777777" w:rsidR="00A75C8E" w:rsidRDefault="004C556B">
      <w:pPr>
        <w:pStyle w:val="FootnoteText"/>
      </w:pPr>
      <w:r w:rsidRPr="00711863">
        <w:rPr>
          <w:rStyle w:val="FootnoteCharacters"/>
        </w:rPr>
        <w:footnoteRef/>
      </w:r>
      <w:r>
        <w:t xml:space="preserve"> </w:t>
      </w:r>
      <w:r>
        <w:rPr>
          <w:i/>
          <w:iCs/>
        </w:rPr>
        <w:t>Id.</w:t>
      </w:r>
      <w:r>
        <w:t xml:space="preserve"> at 146 (affirming Copyright Office determination limiting protection to human authors).</w:t>
      </w:r>
    </w:p>
  </w:footnote>
  <w:footnote w:id="28">
    <w:p w14:paraId="4930D030" w14:textId="77777777" w:rsidR="00A75C8E" w:rsidRDefault="004C556B">
      <w:pPr>
        <w:pStyle w:val="FootnoteText"/>
      </w:pPr>
      <w:r w:rsidRPr="00711863">
        <w:rPr>
          <w:rStyle w:val="FootnoteCharacters"/>
        </w:rPr>
        <w:footnoteRef/>
      </w:r>
      <w:r>
        <w:t xml:space="preserve"> </w:t>
      </w:r>
      <w:r>
        <w:rPr>
          <w:i/>
          <w:iCs/>
        </w:rPr>
        <w:t>Id.</w:t>
      </w:r>
    </w:p>
  </w:footnote>
  <w:footnote w:id="29">
    <w:p w14:paraId="70AF99A0" w14:textId="77777777" w:rsidR="00A75C8E" w:rsidRDefault="004C556B">
      <w:pPr>
        <w:pStyle w:val="FootnoteText"/>
      </w:pPr>
      <w:r w:rsidRPr="00711863">
        <w:rPr>
          <w:rStyle w:val="FootnoteCharacters"/>
        </w:rPr>
        <w:footnoteRef/>
      </w:r>
      <w:r>
        <w:t xml:space="preserve"> Naruto v. Slater, 888 F.3d 418 (9th Cir. 2018) (holding that animals lack statutory standing to sue under the Copyright Act).</w:t>
      </w:r>
    </w:p>
  </w:footnote>
  <w:footnote w:id="30">
    <w:p w14:paraId="1BA58750" w14:textId="77777777" w:rsidR="00A75C8E" w:rsidRDefault="004C556B">
      <w:pPr>
        <w:pStyle w:val="FootnoteText"/>
      </w:pPr>
      <w:r w:rsidRPr="00711863">
        <w:rPr>
          <w:rStyle w:val="FootnoteCharacters"/>
        </w:rPr>
        <w:footnoteRef/>
      </w:r>
      <w:r>
        <w:t xml:space="preserve"> Copyright Registration Guidance, </w:t>
      </w:r>
      <w:r>
        <w:rPr>
          <w:i/>
          <w:iCs/>
        </w:rPr>
        <w:t>supra</w:t>
      </w:r>
      <w:r>
        <w:t xml:space="preserve"> note 1.</w:t>
      </w:r>
    </w:p>
  </w:footnote>
  <w:footnote w:id="31">
    <w:p w14:paraId="3844C907" w14:textId="77777777" w:rsidR="00A75C8E" w:rsidRDefault="004C556B">
      <w:pPr>
        <w:pStyle w:val="FootnoteText"/>
      </w:pPr>
      <w:r w:rsidRPr="00711863">
        <w:rPr>
          <w:rStyle w:val="FootnoteCharacters"/>
        </w:rPr>
        <w:footnoteRef/>
      </w:r>
      <w:r>
        <w:t xml:space="preserve"> </w:t>
      </w:r>
      <w:r>
        <w:rPr>
          <w:i/>
          <w:iCs/>
        </w:rPr>
        <w:t>Id.</w:t>
      </w:r>
      <w:r>
        <w:t xml:space="preserve"> at 5.</w:t>
      </w:r>
    </w:p>
  </w:footnote>
  <w:footnote w:id="32">
    <w:p w14:paraId="41E0D787" w14:textId="77777777" w:rsidR="00A75C8E" w:rsidRDefault="004C556B">
      <w:pPr>
        <w:pStyle w:val="FootnoteText"/>
      </w:pPr>
      <w:r w:rsidRPr="00711863">
        <w:rPr>
          <w:rStyle w:val="FootnoteCharacters"/>
        </w:rPr>
        <w:footnoteRef/>
      </w:r>
      <w:r>
        <w:t xml:space="preserve"> </w:t>
      </w:r>
      <w:r>
        <w:rPr>
          <w:i/>
          <w:iCs/>
        </w:rPr>
        <w:t>Id</w:t>
      </w:r>
      <w:r>
        <w:rPr>
          <w:i/>
        </w:rPr>
        <w:t>.</w:t>
      </w:r>
    </w:p>
  </w:footnote>
  <w:footnote w:id="33">
    <w:p w14:paraId="69B9228B" w14:textId="77777777" w:rsidR="00A75C8E" w:rsidRDefault="004C556B">
      <w:pPr>
        <w:pStyle w:val="FootnoteText"/>
      </w:pPr>
      <w:r w:rsidRPr="00711863">
        <w:rPr>
          <w:rStyle w:val="FootnoteCharacters"/>
        </w:rPr>
        <w:footnoteRef/>
      </w:r>
      <w:r>
        <w:t xml:space="preserve"> </w:t>
      </w:r>
      <w:r>
        <w:rPr>
          <w:i/>
          <w:iCs/>
        </w:rPr>
        <w:t>Id.</w:t>
      </w:r>
      <w:r>
        <w:t xml:space="preserve"> at 2.</w:t>
      </w:r>
    </w:p>
  </w:footnote>
  <w:footnote w:id="34">
    <w:p w14:paraId="7E6F19CA" w14:textId="77777777" w:rsidR="00A75C8E" w:rsidRDefault="004C556B">
      <w:pPr>
        <w:pStyle w:val="FootnoteText"/>
      </w:pPr>
      <w:r w:rsidRPr="00711863">
        <w:rPr>
          <w:rStyle w:val="FootnoteCharacters"/>
        </w:rPr>
        <w:footnoteRef/>
      </w:r>
      <w:r>
        <w:t xml:space="preserve"> </w:t>
      </w:r>
      <w:r>
        <w:rPr>
          <w:i/>
          <w:iCs/>
        </w:rPr>
        <w:t>Id.</w:t>
      </w:r>
      <w:r>
        <w:t xml:space="preserve"> at 7 n.5.</w:t>
      </w:r>
    </w:p>
  </w:footnote>
  <w:footnote w:id="35">
    <w:p w14:paraId="073D5EC9" w14:textId="77777777" w:rsidR="00A75C8E" w:rsidRDefault="004C556B">
      <w:pPr>
        <w:pStyle w:val="FootnoteText"/>
      </w:pPr>
      <w:r w:rsidRPr="00711863">
        <w:rPr>
          <w:rStyle w:val="FootnoteCharacters"/>
        </w:rPr>
        <w:footnoteRef/>
      </w:r>
      <w:r>
        <w:t xml:space="preserve"> </w:t>
      </w:r>
      <w:r>
        <w:rPr>
          <w:i/>
        </w:rPr>
        <w:t>Id.</w:t>
      </w:r>
      <w:r>
        <w:t xml:space="preserve"> at 4–6.</w:t>
      </w:r>
    </w:p>
  </w:footnote>
  <w:footnote w:id="36">
    <w:p w14:paraId="5869F6FF" w14:textId="77777777" w:rsidR="00A75C8E" w:rsidRDefault="004C556B">
      <w:pPr>
        <w:pStyle w:val="FootnoteText"/>
      </w:pPr>
      <w:r w:rsidRPr="00711863">
        <w:rPr>
          <w:rStyle w:val="FootnoteCharacters"/>
        </w:rPr>
        <w:footnoteRef/>
      </w:r>
      <w:r>
        <w:t xml:space="preserve"> </w:t>
      </w:r>
      <w:r>
        <w:rPr>
          <w:smallCaps/>
        </w:rPr>
        <w:t>U.S. Copyright Off.</w:t>
      </w:r>
      <w:r>
        <w:t>, Letter Explaining Reissuance of Registration for Zarya of the Dawn (eBook) (Feb. 21, 2023) (concluding that Midjourney-generated images are not registrable). Midjourney is an AI tool that generates images.</w:t>
      </w:r>
    </w:p>
  </w:footnote>
  <w:footnote w:id="37">
    <w:p w14:paraId="74357464" w14:textId="77777777" w:rsidR="00A75C8E" w:rsidRDefault="004C556B">
      <w:pPr>
        <w:pStyle w:val="FootnoteText"/>
      </w:pPr>
      <w:r w:rsidRPr="00711863">
        <w:rPr>
          <w:rStyle w:val="FootnoteCharacters"/>
        </w:rPr>
        <w:footnoteRef/>
      </w:r>
      <w:r>
        <w:t xml:space="preserve"> </w:t>
      </w:r>
      <w:r>
        <w:rPr>
          <w:i/>
          <w:iCs/>
        </w:rPr>
        <w:t>Id</w:t>
      </w:r>
      <w:r>
        <w:rPr>
          <w:i/>
        </w:rPr>
        <w:t>.</w:t>
      </w:r>
    </w:p>
  </w:footnote>
  <w:footnote w:id="38">
    <w:p w14:paraId="41BF25C7" w14:textId="77777777" w:rsidR="00A75C8E" w:rsidRDefault="004C556B">
      <w:pPr>
        <w:pStyle w:val="FootnoteText"/>
      </w:pPr>
      <w:r w:rsidRPr="00711863">
        <w:rPr>
          <w:rStyle w:val="FootnoteCharacters"/>
        </w:rPr>
        <w:footnoteRef/>
      </w:r>
      <w:r>
        <w:t xml:space="preserve"> </w:t>
      </w:r>
      <w:r>
        <w:rPr>
          <w:smallCaps/>
        </w:rPr>
        <w:t>U.S. Copyright Off. Rev. Bd.</w:t>
      </w:r>
      <w:r>
        <w:t xml:space="preserve">, Second Request for Reconsideration for Refusal to Register Théâtre </w:t>
      </w:r>
      <w:proofErr w:type="spellStart"/>
      <w:r>
        <w:t>D’opéra</w:t>
      </w:r>
      <w:proofErr w:type="spellEnd"/>
      <w:r>
        <w:t xml:space="preserve"> Spatial (Sept. 5, 2023) (denying registration where applicant failed to disclaim AI-generated portions of the work).</w:t>
      </w:r>
    </w:p>
  </w:footnote>
  <w:footnote w:id="39">
    <w:p w14:paraId="5D190A19" w14:textId="77777777" w:rsidR="00A75C8E" w:rsidRDefault="004C556B">
      <w:pPr>
        <w:pStyle w:val="FootnoteText"/>
      </w:pPr>
      <w:r w:rsidRPr="00711863">
        <w:rPr>
          <w:rStyle w:val="FootnoteCharacters"/>
        </w:rPr>
        <w:footnoteRef/>
      </w:r>
      <w:r>
        <w:t xml:space="preserve"> </w:t>
      </w:r>
      <w:r>
        <w:rPr>
          <w:smallCaps/>
        </w:rPr>
        <w:t>U.S. Copyright Off. Rev. Bd.</w:t>
      </w:r>
      <w:r>
        <w:t>, Second Request for Reconsideration for Refusal to Register SURYAST (Dec. 11, 2023) (denying registration where the claimant’s contribution to the work was deemed insufficient).</w:t>
      </w:r>
    </w:p>
  </w:footnote>
  <w:footnote w:id="40">
    <w:p w14:paraId="24A553E0" w14:textId="77777777" w:rsidR="00A75C8E" w:rsidRDefault="004C556B">
      <w:pPr>
        <w:pStyle w:val="FootnoteText"/>
      </w:pPr>
      <w:r w:rsidRPr="00711863">
        <w:rPr>
          <w:rStyle w:val="FootnoteCharacters"/>
        </w:rPr>
        <w:footnoteRef/>
      </w:r>
      <w:r>
        <w:t xml:space="preserve"> </w:t>
      </w:r>
      <w:bookmarkStart w:id="16" w:name="_Hlk219719518_Copy_1"/>
      <w:bookmarkStart w:id="17" w:name="_Hlk219719518"/>
      <w:r>
        <w:rPr>
          <w:smallCaps/>
        </w:rPr>
        <w:t>Copyright Office: Part 2</w:t>
      </w:r>
      <w:r>
        <w:t xml:space="preserve">, </w:t>
      </w:r>
      <w:r>
        <w:rPr>
          <w:i/>
          <w:iCs/>
        </w:rPr>
        <w:t>supra</w:t>
      </w:r>
      <w:r>
        <w:t xml:space="preserve"> note 1</w:t>
      </w:r>
      <w:bookmarkEnd w:id="16"/>
      <w:bookmarkEnd w:id="17"/>
      <w:r>
        <w:t>.</w:t>
      </w:r>
    </w:p>
  </w:footnote>
  <w:footnote w:id="41">
    <w:p w14:paraId="758F7656" w14:textId="77777777" w:rsidR="00A75C8E" w:rsidRDefault="004C556B">
      <w:pPr>
        <w:pStyle w:val="FootnoteText"/>
      </w:pPr>
      <w:r w:rsidRPr="00711863">
        <w:rPr>
          <w:rStyle w:val="FootnoteCharacters"/>
        </w:rPr>
        <w:footnoteRef/>
      </w:r>
      <w:r>
        <w:t xml:space="preserve"> </w:t>
      </w:r>
      <w:r>
        <w:rPr>
          <w:smallCaps/>
        </w:rPr>
        <w:t>Copyright Office: Part 2</w:t>
      </w:r>
      <w:r>
        <w:t xml:space="preserve">, </w:t>
      </w:r>
      <w:r>
        <w:rPr>
          <w:i/>
        </w:rPr>
        <w:t>supra</w:t>
      </w:r>
      <w:r>
        <w:t xml:space="preserve"> note 1, at 12–22. </w:t>
      </w:r>
      <w:r>
        <w:rPr>
          <w:i/>
          <w:iCs/>
        </w:rPr>
        <w:t>Compare</w:t>
      </w:r>
      <w:r>
        <w:t xml:space="preserve"> </w:t>
      </w:r>
      <w:r>
        <w:rPr>
          <w:i/>
          <w:iCs/>
        </w:rPr>
        <w:t>id.</w:t>
      </w:r>
      <w:r>
        <w:t xml:space="preserve"> at 15 n.79 (quoting comments of Pamela Samuelson, Christopher Jon Sprigman, and Matthew Sag, submitted in response to the NOI, stating that a “person who instructs a Generative AI with enough detail, such that model output reflects that person’s original conception of the work, should be regarded as the author of the resulting work”), </w:t>
      </w:r>
      <w:r>
        <w:rPr>
          <w:i/>
          <w:iCs/>
        </w:rPr>
        <w:t>with</w:t>
      </w:r>
      <w:r>
        <w:t xml:space="preserve"> </w:t>
      </w:r>
      <w:r>
        <w:rPr>
          <w:i/>
          <w:iCs/>
        </w:rPr>
        <w:t>id.</w:t>
      </w:r>
      <w:r>
        <w:t xml:space="preserve"> at 15 n.80 (quoting comments of Daniel Gervais, submitted in response to the same NOI, stating that it would be an “exceptional” case “in which a detailed prompt . . . could contain expressions of specific ideas that reflect human creative choices directly perceptible in the machine’s output”).</w:t>
      </w:r>
    </w:p>
  </w:footnote>
  <w:footnote w:id="42">
    <w:p w14:paraId="1BBBC9C4" w14:textId="77777777" w:rsidR="00A75C8E" w:rsidRDefault="004C556B">
      <w:pPr>
        <w:pStyle w:val="FootnoteText"/>
      </w:pPr>
      <w:r w:rsidRPr="00711863">
        <w:rPr>
          <w:rStyle w:val="FootnoteCharacters"/>
        </w:rPr>
        <w:footnoteRef/>
      </w:r>
      <w:r>
        <w:t xml:space="preserve"> Copyright, Designs and Patents Act 1988, c. 48, §§ 9(3), 178 (UK).</w:t>
      </w:r>
    </w:p>
  </w:footnote>
  <w:footnote w:id="43">
    <w:p w14:paraId="0E3815BC" w14:textId="77777777" w:rsidR="00A75C8E" w:rsidRDefault="004C556B">
      <w:pPr>
        <w:pStyle w:val="FootnoteText"/>
      </w:pPr>
      <w:r w:rsidRPr="00711863">
        <w:rPr>
          <w:rStyle w:val="FootnoteCharacters"/>
        </w:rPr>
        <w:footnoteRef/>
      </w:r>
      <w:r>
        <w:t xml:space="preserve"> Li Mou </w:t>
      </w:r>
      <w:proofErr w:type="spellStart"/>
      <w:r>
        <w:t>Mou</w:t>
      </w:r>
      <w:proofErr w:type="spellEnd"/>
      <w:r>
        <w:t xml:space="preserve"> Su Liu Mou </w:t>
      </w:r>
      <w:proofErr w:type="spellStart"/>
      <w:r>
        <w:t>Mou</w:t>
      </w:r>
      <w:proofErr w:type="spellEnd"/>
      <w:r>
        <w:t xml:space="preserve"> Qin Hai Zuo Pin Shu Ming Quan, Xin Xi Wang Luo Chuan Bo Quan Jiu Fen </w:t>
      </w:r>
      <w:proofErr w:type="gramStart"/>
      <w:r>
        <w:t>An</w:t>
      </w:r>
      <w:proofErr w:type="gramEnd"/>
      <w:r>
        <w:t xml:space="preserve"> (</w:t>
      </w:r>
      <w:proofErr w:type="spellStart"/>
      <w:r>
        <w:rPr>
          <w:rFonts w:hint="eastAsia"/>
        </w:rPr>
        <w:t>李某某诉刘某某侵害作品署名权</w:t>
      </w:r>
      <w:proofErr w:type="spellEnd"/>
      <w:r>
        <w:t xml:space="preserve">, </w:t>
      </w:r>
      <w:proofErr w:type="spellStart"/>
      <w:r>
        <w:rPr>
          <w:rFonts w:hint="eastAsia"/>
        </w:rPr>
        <w:t>信息网络传播权纠纷案</w:t>
      </w:r>
      <w:proofErr w:type="spellEnd"/>
      <w:r>
        <w:t>) [Li v. Liu, Dispute over Copyright Infringement of the Right of Attribution and Right of Information Network Distribution of Works], at 10–14 (Beijing Internet Ct. Nov. 27, 2023) (China).</w:t>
      </w:r>
    </w:p>
  </w:footnote>
  <w:footnote w:id="44">
    <w:p w14:paraId="18A6833F" w14:textId="77777777" w:rsidR="00A75C8E" w:rsidRDefault="004C556B">
      <w:pPr>
        <w:pStyle w:val="FootnoteText"/>
      </w:pPr>
      <w:r w:rsidRPr="00711863">
        <w:rPr>
          <w:rStyle w:val="FootnoteCharacters"/>
        </w:rPr>
        <w:footnoteRef/>
      </w:r>
      <w:r>
        <w:t xml:space="preserve"> Council of the European Union, Policy Questionnaire on the Relationship Between Generative Artificial Intelligence and Copyright and Related Rights – Revised Presidency Summary of the Member States Contributions, at 16–18 (Dec. 20, 2024). For further discussions about international approaches to authorship requirements for AI-generated material, </w:t>
      </w:r>
      <w:r>
        <w:rPr>
          <w:i/>
        </w:rPr>
        <w:t>see</w:t>
      </w:r>
      <w:r>
        <w:t xml:space="preserve"> </w:t>
      </w:r>
      <w:r>
        <w:rPr>
          <w:smallCaps/>
        </w:rPr>
        <w:t>Copyright Office: Part 2</w:t>
      </w:r>
      <w:r>
        <w:t xml:space="preserve">, </w:t>
      </w:r>
      <w:r>
        <w:rPr>
          <w:i/>
        </w:rPr>
        <w:t>supra</w:t>
      </w:r>
      <w:r>
        <w:t xml:space="preserve"> note 1, at 28–31.</w:t>
      </w:r>
    </w:p>
  </w:footnote>
  <w:footnote w:id="45">
    <w:p w14:paraId="4705D955" w14:textId="77777777" w:rsidR="00A75C8E" w:rsidRDefault="004C556B">
      <w:pPr>
        <w:pStyle w:val="FootnoteText"/>
      </w:pPr>
      <w:r w:rsidRPr="00711863">
        <w:rPr>
          <w:rStyle w:val="FootnoteCharacters"/>
        </w:rPr>
        <w:footnoteRef/>
      </w:r>
      <w:r>
        <w:t xml:space="preserve"> Atari, Inc. v. N. Am. Philips Consumer Elecs. Corp., 672 F.2d 607 (7th Cir. 1982).</w:t>
      </w:r>
    </w:p>
  </w:footnote>
  <w:footnote w:id="46">
    <w:p w14:paraId="466F7CBA" w14:textId="77777777" w:rsidR="00A75C8E" w:rsidRDefault="004C556B">
      <w:pPr>
        <w:pStyle w:val="FootnoteText"/>
      </w:pPr>
      <w:r w:rsidRPr="00711863">
        <w:rPr>
          <w:rStyle w:val="FootnoteCharacters"/>
        </w:rPr>
        <w:footnoteRef/>
      </w:r>
      <w:r>
        <w:t xml:space="preserve"> </w:t>
      </w:r>
      <w:r>
        <w:rPr>
          <w:i/>
          <w:iCs/>
        </w:rPr>
        <w:t>Id.</w:t>
      </w:r>
      <w:r>
        <w:t xml:space="preserve"> at 619–20 (finding that the defendant’s game “captured the total concept and feel” of Pac-Man).</w:t>
      </w:r>
    </w:p>
  </w:footnote>
  <w:footnote w:id="47">
    <w:p w14:paraId="3E10C629" w14:textId="77777777" w:rsidR="00A75C8E" w:rsidRDefault="004C556B">
      <w:pPr>
        <w:pStyle w:val="FootnoteText"/>
      </w:pPr>
      <w:r w:rsidRPr="00711863">
        <w:rPr>
          <w:rStyle w:val="FootnoteCharacters"/>
        </w:rPr>
        <w:footnoteRef/>
      </w:r>
      <w:r>
        <w:t xml:space="preserve"> </w:t>
      </w:r>
      <w:r>
        <w:rPr>
          <w:i/>
          <w:iCs/>
        </w:rPr>
        <w:t>Id</w:t>
      </w:r>
      <w:r>
        <w:rPr>
          <w:i/>
        </w:rPr>
        <w:t>.</w:t>
      </w:r>
    </w:p>
  </w:footnote>
  <w:footnote w:id="48">
    <w:p w14:paraId="248EDD86" w14:textId="77777777" w:rsidR="00A75C8E" w:rsidRDefault="004C556B">
      <w:pPr>
        <w:pStyle w:val="FootnoteText"/>
      </w:pPr>
      <w:r w:rsidRPr="00711863">
        <w:rPr>
          <w:rStyle w:val="FootnoteCharacters"/>
        </w:rPr>
        <w:footnoteRef/>
      </w:r>
      <w:r>
        <w:t xml:space="preserve"> </w:t>
      </w:r>
      <w:r>
        <w:rPr>
          <w:i/>
          <w:iCs/>
        </w:rPr>
        <w:t>Id.</w:t>
      </w:r>
      <w:r>
        <w:t xml:space="preserve"> at 613 (describing defendant’s revisions).</w:t>
      </w:r>
    </w:p>
  </w:footnote>
  <w:footnote w:id="49">
    <w:p w14:paraId="17D5343A" w14:textId="77777777" w:rsidR="00A75C8E" w:rsidRDefault="004C556B">
      <w:pPr>
        <w:pStyle w:val="FootnoteText"/>
      </w:pPr>
      <w:r w:rsidRPr="00711863">
        <w:rPr>
          <w:rStyle w:val="FootnoteCharacters"/>
        </w:rPr>
        <w:footnoteRef/>
      </w:r>
      <w:r>
        <w:t xml:space="preserve"> Apple </w:t>
      </w:r>
      <w:proofErr w:type="spellStart"/>
      <w:r>
        <w:t>Comput</w:t>
      </w:r>
      <w:proofErr w:type="spellEnd"/>
      <w:r>
        <w:t>., Inc. v. Microsoft Corp., 35 F.3d 1435 (9th Cir. 1994).</w:t>
      </w:r>
    </w:p>
  </w:footnote>
  <w:footnote w:id="50">
    <w:p w14:paraId="694140AD" w14:textId="77777777" w:rsidR="00A75C8E" w:rsidRDefault="004C556B">
      <w:pPr>
        <w:pStyle w:val="FootnoteText"/>
      </w:pPr>
      <w:r w:rsidRPr="00711863">
        <w:rPr>
          <w:rStyle w:val="FootnoteCharacters"/>
        </w:rPr>
        <w:footnoteRef/>
      </w:r>
      <w:r>
        <w:t xml:space="preserve"> </w:t>
      </w:r>
      <w:r>
        <w:rPr>
          <w:i/>
          <w:iCs/>
        </w:rPr>
        <w:t>Id.</w:t>
      </w:r>
      <w:r>
        <w:t xml:space="preserve"> at 1442–46.</w:t>
      </w:r>
    </w:p>
  </w:footnote>
  <w:footnote w:id="51">
    <w:p w14:paraId="075B221D" w14:textId="03E9E26C" w:rsidR="00A75C8E" w:rsidRDefault="004C556B">
      <w:pPr>
        <w:pStyle w:val="FootnoteText"/>
      </w:pPr>
      <w:r w:rsidRPr="00711863">
        <w:rPr>
          <w:rStyle w:val="FootnoteCharacters"/>
        </w:rPr>
        <w:footnoteRef/>
      </w:r>
      <w:r>
        <w:t xml:space="preserve"> </w:t>
      </w:r>
      <w:bookmarkStart w:id="20" w:name="_Hlk218941297_Copy_1"/>
      <w:bookmarkStart w:id="21" w:name="_Hlk218941297"/>
      <w:proofErr w:type="spellStart"/>
      <w:r>
        <w:t>Sedlik</w:t>
      </w:r>
      <w:proofErr w:type="spellEnd"/>
      <w:r>
        <w:t xml:space="preserve"> v. von Drachenberg,</w:t>
      </w:r>
      <w:bookmarkEnd w:id="20"/>
      <w:bookmarkEnd w:id="21"/>
      <w:r>
        <w:t xml:space="preserve"> 163 F.4th 667 (9th Cir. 2026).</w:t>
      </w:r>
    </w:p>
  </w:footnote>
  <w:footnote w:id="52">
    <w:p w14:paraId="4E387047" w14:textId="77777777" w:rsidR="00A75C8E" w:rsidRDefault="004C556B">
      <w:pPr>
        <w:pStyle w:val="FootnoteText"/>
      </w:pPr>
      <w:r w:rsidRPr="00711863">
        <w:rPr>
          <w:rStyle w:val="FootnoteCharacters"/>
        </w:rPr>
        <w:footnoteRef/>
      </w:r>
      <w:r>
        <w:t xml:space="preserve"> </w:t>
      </w:r>
      <w:r>
        <w:rPr>
          <w:i/>
          <w:iCs/>
        </w:rPr>
        <w:t>Id.</w:t>
      </w:r>
      <w:r>
        <w:t xml:space="preserve"> at 676.</w:t>
      </w:r>
    </w:p>
  </w:footnote>
  <w:footnote w:id="53">
    <w:p w14:paraId="6638210B" w14:textId="77777777" w:rsidR="00A75C8E" w:rsidRDefault="004C556B">
      <w:pPr>
        <w:pStyle w:val="FootnoteText"/>
      </w:pPr>
      <w:r w:rsidRPr="00711863">
        <w:rPr>
          <w:rStyle w:val="FootnoteCharacters"/>
        </w:rPr>
        <w:footnoteRef/>
      </w:r>
      <w:r>
        <w:t xml:space="preserve"> </w:t>
      </w:r>
      <w:r>
        <w:rPr>
          <w:i/>
        </w:rPr>
        <w:t>See</w:t>
      </w:r>
      <w:r>
        <w:t xml:space="preserve"> Samuelson, </w:t>
      </w:r>
      <w:r>
        <w:rPr>
          <w:i/>
        </w:rPr>
        <w:t>supra</w:t>
      </w:r>
      <w:r>
        <w:t xml:space="preserve"> note 17, at 333; Blanke, </w:t>
      </w:r>
      <w:r>
        <w:rPr>
          <w:i/>
        </w:rPr>
        <w:t>supra</w:t>
      </w:r>
      <w:r>
        <w:t xml:space="preserve"> note 15, at 655–56 (explaining that </w:t>
      </w:r>
      <w:r>
        <w:rPr>
          <w:i/>
        </w:rPr>
        <w:t>Feist</w:t>
      </w:r>
      <w:r>
        <w:t xml:space="preserve"> reaffirmed that copyright rewards creative expression rather than effort alone, illustrating the principle through van Gogh’s artistry); </w:t>
      </w:r>
      <w:r>
        <w:rPr>
          <w:i/>
        </w:rPr>
        <w:t>see also</w:t>
      </w:r>
      <w:r>
        <w:t xml:space="preserve"> Bleistein v. Donaldson Lithographing Co., 188 U.S. 239, 250 (1903) (Holmes, J.) (“Personality always contains something unique. It expresses its singularity even in handwriting, and a very modest grade of art has in it something irreducible which is one man’s alone.”).</w:t>
      </w:r>
    </w:p>
  </w:footnote>
  <w:footnote w:id="54">
    <w:p w14:paraId="12588741" w14:textId="77777777" w:rsidR="00A75C8E" w:rsidRDefault="004C556B">
      <w:pPr>
        <w:pStyle w:val="FootnoteText"/>
      </w:pPr>
      <w:r w:rsidRPr="00711863">
        <w:rPr>
          <w:rStyle w:val="FootnoteCharacters"/>
        </w:rPr>
        <w:footnoteRef/>
      </w:r>
      <w:r>
        <w:t xml:space="preserve"> Williams v. Gaye, 885 F.3d 1150 (9th Cir. 2018).</w:t>
      </w:r>
    </w:p>
  </w:footnote>
  <w:footnote w:id="55">
    <w:p w14:paraId="69497D6F" w14:textId="77777777" w:rsidR="00A75C8E" w:rsidRDefault="004C556B">
      <w:pPr>
        <w:pStyle w:val="FootnoteText"/>
      </w:pPr>
      <w:r w:rsidRPr="00711863">
        <w:rPr>
          <w:rStyle w:val="FootnoteCharacters"/>
        </w:rPr>
        <w:footnoteRef/>
      </w:r>
      <w:r>
        <w:t xml:space="preserve"> </w:t>
      </w:r>
      <w:r>
        <w:rPr>
          <w:i/>
          <w:iCs/>
        </w:rPr>
        <w:t>Id.</w:t>
      </w:r>
      <w:r>
        <w:t xml:space="preserve"> at 1164–65 (holding that the song deserves “broad” copyright protection).</w:t>
      </w:r>
    </w:p>
  </w:footnote>
  <w:footnote w:id="56">
    <w:p w14:paraId="435E0DB3" w14:textId="3E9FF5BE" w:rsidR="00A75C8E" w:rsidRDefault="004C556B">
      <w:pPr>
        <w:pStyle w:val="FootnoteText"/>
      </w:pPr>
      <w:r w:rsidRPr="00711863">
        <w:rPr>
          <w:rStyle w:val="FootnoteCharacters"/>
        </w:rPr>
        <w:footnoteRef/>
      </w:r>
      <w:r>
        <w:t xml:space="preserve"> </w:t>
      </w:r>
      <w:r>
        <w:rPr>
          <w:i/>
          <w:iCs/>
        </w:rPr>
        <w:t>Id.</w:t>
      </w:r>
      <w:r>
        <w:t xml:space="preserve"> at 1164 (permitting the jury to make that determination); </w:t>
      </w:r>
      <w:r>
        <w:rPr>
          <w:i/>
          <w:iCs/>
        </w:rPr>
        <w:t>see</w:t>
      </w:r>
      <w:r>
        <w:rPr>
          <w:i/>
        </w:rPr>
        <w:t xml:space="preserve"> </w:t>
      </w:r>
      <w:r>
        <w:rPr>
          <w:i/>
          <w:iCs/>
        </w:rPr>
        <w:t>also</w:t>
      </w:r>
      <w:r>
        <w:t xml:space="preserve"> </w:t>
      </w:r>
      <w:proofErr w:type="spellStart"/>
      <w:r w:rsidRPr="00711863">
        <w:rPr>
          <w:i/>
        </w:rPr>
        <w:t>Sedlik</w:t>
      </w:r>
      <w:proofErr w:type="spellEnd"/>
      <w:r>
        <w:t>, 163 F.4th 667.</w:t>
      </w:r>
    </w:p>
  </w:footnote>
  <w:footnote w:id="57">
    <w:p w14:paraId="0A4067F8" w14:textId="2C04384D" w:rsidR="00A75C8E" w:rsidRDefault="004C556B">
      <w:pPr>
        <w:pStyle w:val="FootnoteText"/>
      </w:pPr>
      <w:r w:rsidRPr="00711863">
        <w:rPr>
          <w:rStyle w:val="FootnoteCharacters"/>
        </w:rPr>
        <w:footnoteRef/>
      </w:r>
      <w:r>
        <w:t xml:space="preserve"> </w:t>
      </w:r>
      <w:r>
        <w:rPr>
          <w:i/>
          <w:iCs/>
        </w:rPr>
        <w:t>Id.</w:t>
      </w:r>
      <w:r>
        <w:t xml:space="preserve"> at 1183 (Nguyen, J., dissenting); </w:t>
      </w:r>
      <w:r>
        <w:rPr>
          <w:i/>
          <w:iCs/>
        </w:rPr>
        <w:t>see</w:t>
      </w:r>
      <w:r>
        <w:rPr>
          <w:i/>
        </w:rPr>
        <w:t xml:space="preserve"> </w:t>
      </w:r>
      <w:r>
        <w:rPr>
          <w:i/>
          <w:iCs/>
        </w:rPr>
        <w:t>also</w:t>
      </w:r>
      <w:r>
        <w:t xml:space="preserve"> Ben Sisario, </w:t>
      </w:r>
      <w:r>
        <w:rPr>
          <w:i/>
        </w:rPr>
        <w:t>‘Blurred Lines’ Verdict Upheld by Appeals Court</w:t>
      </w:r>
      <w:r>
        <w:t xml:space="preserve">, </w:t>
      </w:r>
      <w:r>
        <w:rPr>
          <w:smallCaps/>
        </w:rPr>
        <w:t>N.Y. Times</w:t>
      </w:r>
      <w:r>
        <w:t xml:space="preserve"> (Mar. 21, 2018), https://www.nytimes.com/2018/03/21/business/media/blurred-lines-marvin-gaye-copyright.html.</w:t>
      </w:r>
    </w:p>
  </w:footnote>
  <w:footnote w:id="58">
    <w:p w14:paraId="63E143B3" w14:textId="77777777" w:rsidR="00A75C8E" w:rsidRDefault="004C556B">
      <w:pPr>
        <w:pStyle w:val="FootnoteText"/>
      </w:pPr>
      <w:r w:rsidRPr="00711863">
        <w:rPr>
          <w:rStyle w:val="FootnoteCharacters"/>
        </w:rPr>
        <w:footnoteRef/>
      </w:r>
      <w:r>
        <w:t xml:space="preserve"> Structured Asset Sales, LLC v. Sheeran, 559 F. Supp. 3d 172 (S.D.N.Y. 2021) (granting in limine ruling limiting the claim to the musical elements in the sheet music deposited with the Copyright Office); Structured Asset Sales, LLC v. Sheeran, 632 F. Supp. 3d 192 (S.D.N.Y. 2022) (denying defendants’ motion for summary judgment); Structured Asset Sales, LLC v. Sheeran, 673 F. Supp. 3d 415 (S.D.N.Y. 2023) (granting summary judgment on reconsideration after the jury verdict in the related </w:t>
      </w:r>
      <w:r>
        <w:rPr>
          <w:i/>
          <w:iCs/>
        </w:rPr>
        <w:t>Griffin</w:t>
      </w:r>
      <w:r>
        <w:t xml:space="preserve"> case), </w:t>
      </w:r>
      <w:r>
        <w:rPr>
          <w:i/>
          <w:iCs/>
        </w:rPr>
        <w:t>aff’d</w:t>
      </w:r>
      <w:r>
        <w:t xml:space="preserve">, 120 F.4th 1066 (2d Cir. 2024), </w:t>
      </w:r>
      <w:r>
        <w:rPr>
          <w:i/>
        </w:rPr>
        <w:t>cert. denied</w:t>
      </w:r>
      <w:r>
        <w:t>, 145 S. Ct. 2792 (2025). The related action brought by the Townsend heirs, in which the jury found no infringement, was Griffin v. Sheeran, No. 1:17-cv-05221 (S.D.N.Y. May 4, 2023).</w:t>
      </w:r>
    </w:p>
  </w:footnote>
  <w:footnote w:id="59">
    <w:p w14:paraId="53EF031E" w14:textId="77777777" w:rsidR="00A75C8E" w:rsidRDefault="004C556B">
      <w:pPr>
        <w:pStyle w:val="FootnoteText"/>
      </w:pPr>
      <w:r w:rsidRPr="00711863">
        <w:rPr>
          <w:rStyle w:val="FootnoteCharacters"/>
        </w:rPr>
        <w:footnoteRef/>
      </w:r>
      <w:r>
        <w:t xml:space="preserve"> </w:t>
      </w:r>
      <w:r>
        <w:rPr>
          <w:i/>
          <w:iCs/>
        </w:rPr>
        <w:t>Structured Asset Sales</w:t>
      </w:r>
      <w:r>
        <w:t>, 120 F.4th at 1072.</w:t>
      </w:r>
    </w:p>
  </w:footnote>
  <w:footnote w:id="60">
    <w:p w14:paraId="13576E9E" w14:textId="77777777" w:rsidR="00A75C8E" w:rsidRDefault="004C556B">
      <w:pPr>
        <w:pStyle w:val="FootnoteText"/>
      </w:pPr>
      <w:r w:rsidRPr="00711863">
        <w:rPr>
          <w:rStyle w:val="FootnoteCharacters"/>
        </w:rPr>
        <w:footnoteRef/>
      </w:r>
      <w:r>
        <w:t xml:space="preserve"> </w:t>
      </w:r>
      <w:r>
        <w:rPr>
          <w:i/>
          <w:iCs/>
        </w:rPr>
        <w:t>Id.</w:t>
      </w:r>
      <w:r>
        <w:t xml:space="preserve"> at 1079–80.</w:t>
      </w:r>
    </w:p>
  </w:footnote>
  <w:footnote w:id="61">
    <w:p w14:paraId="1C3B5946" w14:textId="62CAC7A7" w:rsidR="00A75C8E" w:rsidRDefault="004C556B">
      <w:pPr>
        <w:pStyle w:val="FootnoteText"/>
      </w:pPr>
      <w:r w:rsidRPr="00711863">
        <w:rPr>
          <w:rStyle w:val="FootnoteCharacters"/>
        </w:rPr>
        <w:footnoteRef/>
      </w:r>
      <w:r>
        <w:t xml:space="preserve"> Ben Sisario, </w:t>
      </w:r>
      <w:r>
        <w:rPr>
          <w:i/>
          <w:iCs/>
        </w:rPr>
        <w:t>Ed Sheeran, Accused of Copying Marvin Gaye, Testifies He Wrote His Song</w:t>
      </w:r>
      <w:r>
        <w:t xml:space="preserve">, </w:t>
      </w:r>
      <w:r>
        <w:rPr>
          <w:smallCaps/>
        </w:rPr>
        <w:t>N.Y. Times</w:t>
      </w:r>
      <w:r>
        <w:t xml:space="preserve"> (Apr. 25, 2023), https://www.nytimes.com/2023/04/25/arts/music/ed-sheeran-testifies-marvin-gaye-trial.html; Daniel Welsh, </w:t>
      </w:r>
      <w:r>
        <w:rPr>
          <w:i/>
          <w:iCs/>
        </w:rPr>
        <w:t>Ed Sheeran Recreates The Guitar Performance He Gave In Court During Thinking Out Loud Trial</w:t>
      </w:r>
      <w:r>
        <w:t xml:space="preserve">, </w:t>
      </w:r>
      <w:r>
        <w:rPr>
          <w:smallCaps/>
        </w:rPr>
        <w:t>HuffPost</w:t>
      </w:r>
      <w:r>
        <w:t xml:space="preserve"> (Nov. 5, 2023), https://www.huffingtonpost.co.uk/entry/ed-sheeran-recreates-court-room-performance-guitar_uk_645cc296e4b005be8ff1b967; Adrian Horton, </w:t>
      </w:r>
      <w:r>
        <w:rPr>
          <w:i/>
          <w:iCs/>
        </w:rPr>
        <w:t>Singing in Court to a Dramatic Collapse: Key Moments from the Ed Sheeran Trial</w:t>
      </w:r>
      <w:r>
        <w:t xml:space="preserve">, </w:t>
      </w:r>
      <w:r>
        <w:rPr>
          <w:smallCaps/>
        </w:rPr>
        <w:t>Guardian</w:t>
      </w:r>
      <w:r>
        <w:t xml:space="preserve"> (May 4, 2023), https://www.theguardian.com/music/2023/may/04/ed-sheeran-trial-marvin-gaye-key-moments; Ben Rogerson, </w:t>
      </w:r>
      <w:r>
        <w:rPr>
          <w:i/>
          <w:iCs/>
        </w:rPr>
        <w:t>Ed Sheeran Shows Howard Stern How He Played His Guitar to Help Win the Let’s Get It On Case: “You Can’t Copyright a Chord Sequence - You Just Can’t”</w:t>
      </w:r>
      <w:r>
        <w:t xml:space="preserve">, </w:t>
      </w:r>
      <w:proofErr w:type="spellStart"/>
      <w:r>
        <w:rPr>
          <w:smallCaps/>
        </w:rPr>
        <w:t>MusicRadar</w:t>
      </w:r>
      <w:proofErr w:type="spellEnd"/>
      <w:r>
        <w:t xml:space="preserve"> (May 11, 2023), https://www.musicradar.com/news/ed-sheeran-howard-stern-guitar-medley.</w:t>
      </w:r>
    </w:p>
  </w:footnote>
  <w:footnote w:id="62">
    <w:p w14:paraId="2BDC9CE9" w14:textId="77777777" w:rsidR="00A75C8E" w:rsidRDefault="004C556B">
      <w:pPr>
        <w:pStyle w:val="FootnoteText"/>
      </w:pPr>
      <w:r w:rsidRPr="00711863">
        <w:rPr>
          <w:rStyle w:val="FootnoteCharacters"/>
        </w:rPr>
        <w:footnoteRef/>
      </w:r>
      <w:r>
        <w:t xml:space="preserve"> </w:t>
      </w:r>
      <w:r>
        <w:rPr>
          <w:i/>
          <w:iCs/>
        </w:rPr>
        <w:t>Structured Asset Sales</w:t>
      </w:r>
      <w:r>
        <w:t>, 120 F.4th at 1072–73.</w:t>
      </w:r>
    </w:p>
  </w:footnote>
  <w:footnote w:id="63">
    <w:p w14:paraId="497C5F40" w14:textId="77777777" w:rsidR="00A75C8E" w:rsidRDefault="004C556B">
      <w:pPr>
        <w:pStyle w:val="FootnoteText"/>
      </w:pPr>
      <w:r w:rsidRPr="00711863">
        <w:rPr>
          <w:rStyle w:val="FootnoteCharacters"/>
        </w:rPr>
        <w:footnoteRef/>
      </w:r>
      <w:r>
        <w:t xml:space="preserve"> </w:t>
      </w:r>
      <w:r>
        <w:rPr>
          <w:i/>
          <w:iCs/>
        </w:rPr>
        <w:t>Structured Asset Sales</w:t>
      </w:r>
      <w:r>
        <w:t xml:space="preserve">, 673 F. Supp. 3d at 424, </w:t>
      </w:r>
      <w:r>
        <w:rPr>
          <w:i/>
          <w:iCs/>
        </w:rPr>
        <w:t>aff’d</w:t>
      </w:r>
      <w:r>
        <w:t>, 120 F.4th 1066 (2d Cir. 2024).</w:t>
      </w:r>
    </w:p>
  </w:footnote>
  <w:footnote w:id="64">
    <w:p w14:paraId="435EF477" w14:textId="77777777" w:rsidR="00A75C8E" w:rsidRDefault="004C556B">
      <w:pPr>
        <w:pStyle w:val="FootnoteText"/>
      </w:pPr>
      <w:r w:rsidRPr="00711863">
        <w:rPr>
          <w:rStyle w:val="FootnoteCharacters"/>
        </w:rPr>
        <w:footnoteRef/>
      </w:r>
      <w:r>
        <w:t xml:space="preserve"> </w:t>
      </w:r>
      <w:r>
        <w:rPr>
          <w:i/>
          <w:iCs/>
        </w:rPr>
        <w:t>Id</w:t>
      </w:r>
      <w:r>
        <w:rPr>
          <w:i/>
        </w:rPr>
        <w:t>.</w:t>
      </w:r>
    </w:p>
  </w:footnote>
  <w:footnote w:id="65">
    <w:p w14:paraId="2CD54762" w14:textId="77777777" w:rsidR="00A75C8E" w:rsidRDefault="004C556B">
      <w:pPr>
        <w:pStyle w:val="FootnoteText"/>
      </w:pPr>
      <w:r w:rsidRPr="00711863">
        <w:rPr>
          <w:rStyle w:val="FootnoteCharacters"/>
        </w:rPr>
        <w:footnoteRef/>
      </w:r>
      <w:r>
        <w:t xml:space="preserve"> </w:t>
      </w:r>
      <w:r>
        <w:rPr>
          <w:i/>
          <w:iCs/>
        </w:rPr>
        <w:t>Structured Asset Sales</w:t>
      </w:r>
      <w:r>
        <w:t>, 120 F.4th at 1079.</w:t>
      </w:r>
    </w:p>
  </w:footnote>
  <w:footnote w:id="66">
    <w:p w14:paraId="0D203F64" w14:textId="77777777" w:rsidR="00A75C8E" w:rsidRDefault="004C556B">
      <w:pPr>
        <w:pStyle w:val="FootnoteText"/>
      </w:pPr>
      <w:r w:rsidRPr="00711863">
        <w:rPr>
          <w:rStyle w:val="FootnoteCharacters"/>
        </w:rPr>
        <w:footnoteRef/>
      </w:r>
      <w:r>
        <w:t xml:space="preserve"> </w:t>
      </w:r>
      <w:r>
        <w:rPr>
          <w:i/>
          <w:iCs/>
        </w:rPr>
        <w:t>Id.</w:t>
      </w:r>
      <w:r>
        <w:t xml:space="preserve"> at 1081.</w:t>
      </w:r>
    </w:p>
  </w:footnote>
  <w:footnote w:id="67">
    <w:p w14:paraId="292C8911" w14:textId="77777777" w:rsidR="00A75C8E" w:rsidRDefault="004C556B">
      <w:pPr>
        <w:pStyle w:val="FootnoteText"/>
      </w:pPr>
      <w:r w:rsidRPr="00711863">
        <w:rPr>
          <w:rStyle w:val="FootnoteCharacters"/>
        </w:rPr>
        <w:footnoteRef/>
      </w:r>
      <w:r>
        <w:t xml:space="preserve"> Baker v. Selden, 101 U.S. 99 (1879).</w:t>
      </w:r>
    </w:p>
  </w:footnote>
  <w:footnote w:id="68">
    <w:p w14:paraId="2C930B52" w14:textId="77777777" w:rsidR="00A75C8E" w:rsidRDefault="004C556B">
      <w:pPr>
        <w:pStyle w:val="FootnoteText"/>
      </w:pPr>
      <w:r w:rsidRPr="00711863">
        <w:rPr>
          <w:rStyle w:val="FootnoteCharacters"/>
        </w:rPr>
        <w:footnoteRef/>
      </w:r>
      <w:r>
        <w:t xml:space="preserve"> </w:t>
      </w:r>
      <w:r>
        <w:rPr>
          <w:i/>
          <w:iCs/>
        </w:rPr>
        <w:t>See</w:t>
      </w:r>
      <w:r>
        <w:t xml:space="preserve"> Atari, Inc. v. N. Am. Philips Consumer Elecs. Corp., 672 F.2d 607, 614–15 (7th Cir. 1982) (acknowledging the difficulty in distinguishing between protectable and unprotectable expression and discussing the “total concept and feel” test).</w:t>
      </w:r>
    </w:p>
  </w:footnote>
  <w:footnote w:id="69">
    <w:p w14:paraId="202620D5" w14:textId="77777777" w:rsidR="00A75C8E" w:rsidRDefault="004C556B">
      <w:pPr>
        <w:pStyle w:val="FootnoteText"/>
      </w:pPr>
      <w:r w:rsidRPr="00711863">
        <w:rPr>
          <w:rStyle w:val="FootnoteCharacters"/>
        </w:rPr>
        <w:footnoteRef/>
      </w:r>
      <w:r>
        <w:t xml:space="preserve"> 17 U.S.C. § 107.</w:t>
      </w:r>
    </w:p>
  </w:footnote>
  <w:footnote w:id="70">
    <w:p w14:paraId="71C64F43" w14:textId="77777777" w:rsidR="00A75C8E" w:rsidRDefault="004C556B">
      <w:pPr>
        <w:pStyle w:val="FootnoteText"/>
      </w:pPr>
      <w:r w:rsidRPr="00711863">
        <w:rPr>
          <w:rStyle w:val="FootnoteCharacters"/>
        </w:rPr>
        <w:footnoteRef/>
      </w:r>
      <w:r>
        <w:t xml:space="preserve"> Campbell v. Acuff-Rose Music, Inc., 510 U.S. 569, 578–94 (1994) (recognizing that a use may be fair if it “adds something new, with a further purpose or different character, altering the first with new expression, meaning, or message”).</w:t>
      </w:r>
    </w:p>
  </w:footnote>
  <w:footnote w:id="71">
    <w:p w14:paraId="5FDBACE8" w14:textId="77777777" w:rsidR="00A75C8E" w:rsidRDefault="004C556B">
      <w:pPr>
        <w:pStyle w:val="FootnoteText"/>
      </w:pPr>
      <w:r w:rsidRPr="00711863">
        <w:rPr>
          <w:rStyle w:val="FootnoteCharacters"/>
        </w:rPr>
        <w:footnoteRef/>
      </w:r>
      <w:r>
        <w:t xml:space="preserve"> </w:t>
      </w:r>
      <w:r>
        <w:rPr>
          <w:i/>
          <w:iCs/>
        </w:rPr>
        <w:t>Id</w:t>
      </w:r>
      <w:r>
        <w:rPr>
          <w:i/>
        </w:rPr>
        <w:t>.</w:t>
      </w:r>
    </w:p>
  </w:footnote>
  <w:footnote w:id="72">
    <w:p w14:paraId="09852BF5" w14:textId="77777777" w:rsidR="00A75C8E" w:rsidRDefault="004C556B">
      <w:pPr>
        <w:pStyle w:val="FootnoteText"/>
      </w:pPr>
      <w:r w:rsidRPr="00711863">
        <w:rPr>
          <w:rStyle w:val="FootnoteCharacters"/>
        </w:rPr>
        <w:footnoteRef/>
      </w:r>
      <w:r>
        <w:t xml:space="preserve"> Andy Warhol Found. for the Visual Arts, Inc. v. Goldsmith, 598 U.S. 508 (2023). Prior to </w:t>
      </w:r>
      <w:r>
        <w:rPr>
          <w:i/>
        </w:rPr>
        <w:t>Campbell</w:t>
      </w:r>
      <w:r>
        <w:t>, the Supreme Court stated that factor four was “undoubtedly the single most important element of fair use.” Harper &amp; Row, Publishers, Inc. v. Nation Enters., 471 U.S. 539, 566 (1985).</w:t>
      </w:r>
    </w:p>
  </w:footnote>
  <w:footnote w:id="73">
    <w:p w14:paraId="54F40A27" w14:textId="77777777" w:rsidR="00A75C8E" w:rsidRDefault="004C556B">
      <w:pPr>
        <w:pStyle w:val="FootnoteText"/>
      </w:pPr>
      <w:r w:rsidRPr="00711863">
        <w:rPr>
          <w:rStyle w:val="FootnoteCharacters"/>
        </w:rPr>
        <w:footnoteRef/>
      </w:r>
      <w:r>
        <w:t xml:space="preserve"> For an excellent discussion about how laws around the world approach non-expressive use of copyrighted works, </w:t>
      </w:r>
      <w:r>
        <w:rPr>
          <w:i/>
          <w:iCs/>
        </w:rPr>
        <w:t>see</w:t>
      </w:r>
      <w:r>
        <w:t xml:space="preserve"> Matthew Sag &amp; Peter K. Yu, </w:t>
      </w:r>
      <w:r>
        <w:rPr>
          <w:i/>
          <w:iCs/>
        </w:rPr>
        <w:t>The Globalization of Copyright Exceptions for AI Training</w:t>
      </w:r>
      <w:r>
        <w:t xml:space="preserve">, 74 </w:t>
      </w:r>
      <w:r>
        <w:rPr>
          <w:smallCaps/>
        </w:rPr>
        <w:t>Emory L.J.</w:t>
      </w:r>
      <w:r>
        <w:t xml:space="preserve"> 1163, 1178–97 (2025). They compare the </w:t>
      </w:r>
      <w:r>
        <w:rPr>
          <w:i/>
          <w:iCs/>
        </w:rPr>
        <w:t>very</w:t>
      </w:r>
      <w:r>
        <w:t xml:space="preserve"> similar fair use law of Israel and the similar fair use laws of Liberia, Malaysia, the Philippines, Singapore, South Korea, Sri Lanka, and Taiwan. They also explore some additional approaches taken in Japan, the UK, the EU, Singapore, China, and the UAE. </w:t>
      </w:r>
      <w:r>
        <w:rPr>
          <w:i/>
          <w:iCs/>
        </w:rPr>
        <w:t>Id</w:t>
      </w:r>
      <w:r>
        <w:rPr>
          <w:i/>
        </w:rPr>
        <w:t>.</w:t>
      </w:r>
    </w:p>
  </w:footnote>
  <w:footnote w:id="74">
    <w:p w14:paraId="31366431" w14:textId="77777777" w:rsidR="00A75C8E" w:rsidRDefault="004C556B">
      <w:pPr>
        <w:pStyle w:val="FootnoteText"/>
      </w:pPr>
      <w:r w:rsidRPr="00711863">
        <w:rPr>
          <w:rStyle w:val="FootnoteCharacters"/>
        </w:rPr>
        <w:footnoteRef/>
      </w:r>
      <w:r>
        <w:t xml:space="preserve"> </w:t>
      </w:r>
      <w:r>
        <w:rPr>
          <w:i/>
        </w:rPr>
        <w:t>Campbell</w:t>
      </w:r>
      <w:r>
        <w:t>, 510 U.S. at 579 (holding that parody can be transformative even when commercial).</w:t>
      </w:r>
    </w:p>
  </w:footnote>
  <w:footnote w:id="75">
    <w:p w14:paraId="0EAE8678" w14:textId="77777777" w:rsidR="00A75C8E" w:rsidRDefault="004C556B">
      <w:pPr>
        <w:pStyle w:val="FootnoteText"/>
      </w:pPr>
      <w:r w:rsidRPr="00711863">
        <w:rPr>
          <w:rStyle w:val="FootnoteCharacters"/>
        </w:rPr>
        <w:footnoteRef/>
      </w:r>
      <w:r>
        <w:t xml:space="preserve"> </w:t>
      </w:r>
      <w:r>
        <w:rPr>
          <w:i/>
        </w:rPr>
        <w:t>Id.</w:t>
      </w:r>
      <w:r>
        <w:t xml:space="preserve">; </w:t>
      </w:r>
      <w:r>
        <w:rPr>
          <w:i/>
        </w:rPr>
        <w:t>see generally</w:t>
      </w:r>
      <w:r>
        <w:t xml:space="preserve"> Pamela Samuelson, </w:t>
      </w:r>
      <w:r>
        <w:rPr>
          <w:i/>
        </w:rPr>
        <w:t>Unbundling Fair Uses</w:t>
      </w:r>
      <w:r>
        <w:t xml:space="preserve">, 77 </w:t>
      </w:r>
      <w:r>
        <w:rPr>
          <w:smallCaps/>
        </w:rPr>
        <w:t>Fordham L. Rev.</w:t>
      </w:r>
      <w:r>
        <w:t xml:space="preserve"> 2537, 2602–15 (2009) (tracing the expansion of transformative use in technological contexts).</w:t>
      </w:r>
    </w:p>
  </w:footnote>
  <w:footnote w:id="76">
    <w:p w14:paraId="586954D4" w14:textId="77777777" w:rsidR="00A75C8E" w:rsidRDefault="004C556B">
      <w:pPr>
        <w:pStyle w:val="FootnoteText"/>
      </w:pPr>
      <w:r w:rsidRPr="00711863">
        <w:rPr>
          <w:rStyle w:val="FootnoteCharacters"/>
        </w:rPr>
        <w:footnoteRef/>
      </w:r>
      <w:r>
        <w:t xml:space="preserve"> Bill Graham Archives v. Dorling Kindersley Ltd., 448 F.3d 605, 609–12 (2d Cir. 2006) (holding that use of reduced concert posters as timeline illustrations served a distinct historical purpose and did not substitute for the originals).</w:t>
      </w:r>
    </w:p>
  </w:footnote>
  <w:footnote w:id="77">
    <w:p w14:paraId="5BE81B6F" w14:textId="77777777" w:rsidR="00A75C8E" w:rsidRDefault="004C556B">
      <w:pPr>
        <w:pStyle w:val="FootnoteText"/>
      </w:pPr>
      <w:r w:rsidRPr="00711863">
        <w:rPr>
          <w:rStyle w:val="FootnoteCharacters"/>
        </w:rPr>
        <w:footnoteRef/>
      </w:r>
      <w:r>
        <w:t xml:space="preserve"> Authors Guild v. Google, Inc., 804 F.3d 202, 217–26 (2d Cir. 2015) [hereinafter </w:t>
      </w:r>
      <w:r>
        <w:rPr>
          <w:i/>
          <w:iCs/>
        </w:rPr>
        <w:t>Google Books</w:t>
      </w:r>
      <w:r>
        <w:t xml:space="preserve">] (holding that full-text scanning and snippet display were “highly transformative” search uses and did not cause market substitution); </w:t>
      </w:r>
      <w:r>
        <w:rPr>
          <w:i/>
        </w:rPr>
        <w:t>see also</w:t>
      </w:r>
      <w:r>
        <w:t xml:space="preserve"> Kelly v. Arriba Soft Corp., 336 F.3d 811, 818–22 (9th Cir. 2003) (thumbnail search images transformative because they served an informational purpose distinct from the originals); Perfect 10, Inc. v. Amazon.com, Inc., 508 F.3d 1146, 1165–68 (9th Cir. 2007) (holding that image-search indexing constituted a transformative use furthering public access to information); </w:t>
      </w:r>
      <w:r>
        <w:rPr>
          <w:i/>
        </w:rPr>
        <w:t>see</w:t>
      </w:r>
      <w:r>
        <w:t xml:space="preserve"> Samuelson, </w:t>
      </w:r>
      <w:r>
        <w:rPr>
          <w:i/>
        </w:rPr>
        <w:t>supra</w:t>
      </w:r>
      <w:r>
        <w:t xml:space="preserve"> note 74, at 2602–15.</w:t>
      </w:r>
    </w:p>
  </w:footnote>
  <w:footnote w:id="78">
    <w:p w14:paraId="72716A08" w14:textId="77777777" w:rsidR="00A75C8E" w:rsidRDefault="004C556B">
      <w:pPr>
        <w:pStyle w:val="FootnoteText"/>
      </w:pPr>
      <w:r w:rsidRPr="00711863">
        <w:rPr>
          <w:rStyle w:val="FootnoteCharacters"/>
        </w:rPr>
        <w:footnoteRef/>
      </w:r>
      <w:r>
        <w:t xml:space="preserve"> </w:t>
      </w:r>
      <w:r>
        <w:rPr>
          <w:i/>
          <w:iCs/>
        </w:rPr>
        <w:t>Google Books</w:t>
      </w:r>
      <w:r>
        <w:t>, 804 F.3d at 217–25.</w:t>
      </w:r>
    </w:p>
  </w:footnote>
  <w:footnote w:id="79">
    <w:p w14:paraId="03FDA6A7" w14:textId="77777777" w:rsidR="00A75C8E" w:rsidRDefault="004C556B">
      <w:pPr>
        <w:pStyle w:val="FootnoteText"/>
      </w:pPr>
      <w:r w:rsidRPr="00711863">
        <w:rPr>
          <w:rStyle w:val="FootnoteCharacters"/>
        </w:rPr>
        <w:footnoteRef/>
      </w:r>
      <w:r>
        <w:t xml:space="preserve"> </w:t>
      </w:r>
      <w:r>
        <w:rPr>
          <w:i/>
        </w:rPr>
        <w:t>Campbell</w:t>
      </w:r>
      <w:r>
        <w:t>, 510 U.S. at 579–94.</w:t>
      </w:r>
    </w:p>
  </w:footnote>
  <w:footnote w:id="80">
    <w:p w14:paraId="34EEFDCE" w14:textId="77777777" w:rsidR="00A75C8E" w:rsidRDefault="004C556B">
      <w:pPr>
        <w:pStyle w:val="FootnoteText"/>
      </w:pPr>
      <w:r w:rsidRPr="00711863">
        <w:rPr>
          <w:rStyle w:val="FootnoteCharacters"/>
        </w:rPr>
        <w:footnoteRef/>
      </w:r>
      <w:r>
        <w:t xml:space="preserve"> </w:t>
      </w:r>
      <w:r>
        <w:rPr>
          <w:i/>
          <w:iCs/>
        </w:rPr>
        <w:t>Id.</w:t>
      </w:r>
      <w:r>
        <w:t xml:space="preserve"> at 579; </w:t>
      </w:r>
      <w:r>
        <w:rPr>
          <w:i/>
          <w:iCs/>
        </w:rPr>
        <w:t>see</w:t>
      </w:r>
      <w:r>
        <w:t xml:space="preserve"> Bleistein v. Donaldson Lithographing Co., 188 U.S. 239, 250–52 (1903) (warning courts against acting as art critics while affirming protection for original expression).</w:t>
      </w:r>
    </w:p>
  </w:footnote>
  <w:footnote w:id="81">
    <w:p w14:paraId="4F8B96F6" w14:textId="77777777" w:rsidR="00A75C8E" w:rsidRDefault="004C556B">
      <w:pPr>
        <w:pStyle w:val="FootnoteText"/>
      </w:pPr>
      <w:r w:rsidRPr="00711863">
        <w:rPr>
          <w:rStyle w:val="FootnoteCharacters"/>
        </w:rPr>
        <w:footnoteRef/>
      </w:r>
      <w:r>
        <w:t xml:space="preserve"> Bridgeport Music, Inc. v. Dimension Films, 410 F.3d 792, 800–05 (6th Cir. 2005) (holding that any unlicensed sampling of a sound recording infringes, without a de minimis defense).</w:t>
      </w:r>
    </w:p>
  </w:footnote>
  <w:footnote w:id="82">
    <w:p w14:paraId="392B2E04" w14:textId="77777777" w:rsidR="00A75C8E" w:rsidRDefault="004C556B">
      <w:pPr>
        <w:pStyle w:val="FootnoteText"/>
      </w:pPr>
      <w:r w:rsidRPr="00711863">
        <w:rPr>
          <w:rStyle w:val="FootnoteCharacters"/>
        </w:rPr>
        <w:footnoteRef/>
      </w:r>
      <w:r>
        <w:t xml:space="preserve"> VMG Salsoul, LLC v. Ciccone, 824 F.3d 871, 878–84 (9th Cir. 2016) (rejecting </w:t>
      </w:r>
      <w:r>
        <w:rPr>
          <w:i/>
        </w:rPr>
        <w:t>Bridgeport</w:t>
      </w:r>
      <w:r>
        <w:t xml:space="preserve"> and holding that de minimis sampling was not infringing because the copied horn hit lacked expressive significance).</w:t>
      </w:r>
    </w:p>
  </w:footnote>
  <w:footnote w:id="83">
    <w:p w14:paraId="48911057" w14:textId="77777777" w:rsidR="00A75C8E" w:rsidRDefault="004C556B">
      <w:pPr>
        <w:pStyle w:val="FootnoteText"/>
      </w:pPr>
      <w:r w:rsidRPr="00711863">
        <w:rPr>
          <w:rStyle w:val="FootnoteCharacters"/>
        </w:rPr>
        <w:footnoteRef/>
      </w:r>
      <w:r>
        <w:t xml:space="preserve"> </w:t>
      </w:r>
      <w:r>
        <w:rPr>
          <w:i/>
        </w:rPr>
        <w:t>Bridgeport</w:t>
      </w:r>
      <w:r>
        <w:t>, 410 F.3d at 801.</w:t>
      </w:r>
    </w:p>
  </w:footnote>
  <w:footnote w:id="84">
    <w:p w14:paraId="002CBEFD" w14:textId="77777777" w:rsidR="00A75C8E" w:rsidRDefault="004C556B">
      <w:pPr>
        <w:pStyle w:val="FootnoteText"/>
      </w:pPr>
      <w:r w:rsidRPr="00711863">
        <w:rPr>
          <w:rStyle w:val="FootnoteCharacters"/>
        </w:rPr>
        <w:footnoteRef/>
      </w:r>
      <w:r>
        <w:t xml:space="preserve"> </w:t>
      </w:r>
      <w:r>
        <w:rPr>
          <w:i/>
        </w:rPr>
        <w:t>VMG Salsoul</w:t>
      </w:r>
      <w:r>
        <w:t>, 824 F.3d at 878–84.</w:t>
      </w:r>
    </w:p>
  </w:footnote>
  <w:footnote w:id="85">
    <w:p w14:paraId="4FA79A2B" w14:textId="77777777" w:rsidR="00A75C8E" w:rsidRDefault="004C556B">
      <w:pPr>
        <w:pStyle w:val="FootnoteText"/>
      </w:pPr>
      <w:r w:rsidRPr="00711863">
        <w:rPr>
          <w:rStyle w:val="FootnoteCharacters"/>
        </w:rPr>
        <w:footnoteRef/>
      </w:r>
      <w:r>
        <w:t xml:space="preserve"> </w:t>
      </w:r>
      <w:r>
        <w:rPr>
          <w:i/>
        </w:rPr>
        <w:t>Google</w:t>
      </w:r>
      <w:r>
        <w:rPr>
          <w:i/>
          <w:iCs/>
        </w:rPr>
        <w:t xml:space="preserve"> Books</w:t>
      </w:r>
      <w:r>
        <w:t>, 804 F.3d at 217–25 (to paraphrase, the purpose of the copying is highly transformative, enabling a search function that did not previously exist).</w:t>
      </w:r>
    </w:p>
  </w:footnote>
  <w:footnote w:id="86">
    <w:p w14:paraId="6BD24E8B" w14:textId="77777777" w:rsidR="00A75C8E" w:rsidRDefault="004C556B">
      <w:pPr>
        <w:pStyle w:val="FootnoteText"/>
      </w:pPr>
      <w:r w:rsidRPr="00711863">
        <w:rPr>
          <w:rStyle w:val="FootnoteCharacters"/>
        </w:rPr>
        <w:footnoteRef/>
      </w:r>
      <w:r>
        <w:t xml:space="preserve"> Andy Warhol Found. for the Visual Arts, Inc. v. Goldsmith, 598 U.S. 508, 522–26, 531–33 (2023) (holding that transformative analysis must assess “the specific use at issue,” and overlapping licensing markets weighed against fair use).</w:t>
      </w:r>
    </w:p>
  </w:footnote>
  <w:footnote w:id="87">
    <w:p w14:paraId="7E1C1A6F" w14:textId="77777777" w:rsidR="00A75C8E" w:rsidRDefault="004C556B">
      <w:pPr>
        <w:pStyle w:val="FootnoteText"/>
      </w:pPr>
      <w:r w:rsidRPr="00711863">
        <w:rPr>
          <w:rStyle w:val="FootnoteCharacters"/>
        </w:rPr>
        <w:footnoteRef/>
      </w:r>
      <w:r>
        <w:t xml:space="preserve"> </w:t>
      </w:r>
      <w:r>
        <w:rPr>
          <w:i/>
          <w:iCs/>
        </w:rPr>
        <w:t>Id.</w:t>
      </w:r>
      <w:r>
        <w:t xml:space="preserve"> at 541.</w:t>
      </w:r>
    </w:p>
  </w:footnote>
  <w:footnote w:id="88">
    <w:p w14:paraId="172F22C4" w14:textId="77777777" w:rsidR="00A75C8E" w:rsidRDefault="004C556B">
      <w:pPr>
        <w:pStyle w:val="FootnoteText"/>
      </w:pPr>
      <w:r w:rsidRPr="00711863">
        <w:rPr>
          <w:rStyle w:val="FootnoteCharacters"/>
        </w:rPr>
        <w:footnoteRef/>
      </w:r>
      <w:r>
        <w:t xml:space="preserve"> </w:t>
      </w:r>
      <w:r>
        <w:rPr>
          <w:i/>
          <w:iCs/>
        </w:rPr>
        <w:t>Id.</w:t>
      </w:r>
      <w:r>
        <w:t xml:space="preserve"> at 515–17.</w:t>
      </w:r>
    </w:p>
  </w:footnote>
  <w:footnote w:id="89">
    <w:p w14:paraId="06557839" w14:textId="77777777" w:rsidR="00A75C8E" w:rsidRDefault="004C556B">
      <w:pPr>
        <w:pStyle w:val="FootnoteText"/>
      </w:pPr>
      <w:r w:rsidRPr="00711863">
        <w:rPr>
          <w:rStyle w:val="FootnoteCharacters"/>
        </w:rPr>
        <w:footnoteRef/>
      </w:r>
      <w:r>
        <w:t xml:space="preserve"> </w:t>
      </w:r>
      <w:r>
        <w:rPr>
          <w:i/>
          <w:iCs/>
        </w:rPr>
        <w:t>Id.</w:t>
      </w:r>
      <w:r>
        <w:t xml:space="preserve"> at 523–28.</w:t>
      </w:r>
    </w:p>
  </w:footnote>
  <w:footnote w:id="90">
    <w:p w14:paraId="17F1CCF8" w14:textId="77777777" w:rsidR="00A75C8E" w:rsidRDefault="004C556B">
      <w:pPr>
        <w:pStyle w:val="FootnoteText"/>
      </w:pPr>
      <w:r w:rsidRPr="00711863">
        <w:rPr>
          <w:rStyle w:val="FootnoteCharacters"/>
        </w:rPr>
        <w:footnoteRef/>
      </w:r>
      <w:r>
        <w:t xml:space="preserve"> </w:t>
      </w:r>
      <w:r>
        <w:rPr>
          <w:i/>
          <w:iCs/>
        </w:rPr>
        <w:t>Id.</w:t>
      </w:r>
      <w:r>
        <w:t xml:space="preserve"> at 533–41.</w:t>
      </w:r>
    </w:p>
  </w:footnote>
  <w:footnote w:id="91">
    <w:p w14:paraId="32510AA8" w14:textId="77777777" w:rsidR="00A75C8E" w:rsidRDefault="004C556B">
      <w:pPr>
        <w:pStyle w:val="FootnoteText"/>
      </w:pPr>
      <w:r w:rsidRPr="00711863">
        <w:rPr>
          <w:rStyle w:val="FootnoteCharacters"/>
        </w:rPr>
        <w:footnoteRef/>
      </w:r>
      <w:r>
        <w:t xml:space="preserve"> </w:t>
      </w:r>
      <w:r>
        <w:rPr>
          <w:i/>
          <w:iCs/>
        </w:rPr>
        <w:t>See</w:t>
      </w:r>
      <w:r>
        <w:t xml:space="preserve"> Amy Adler, </w:t>
      </w:r>
      <w:r>
        <w:rPr>
          <w:i/>
          <w:iCs/>
        </w:rPr>
        <w:t>Why Courts Should Not Interpret the Meaning of Art</w:t>
      </w:r>
      <w:r>
        <w:t xml:space="preserve">, 42 </w:t>
      </w:r>
      <w:r>
        <w:rPr>
          <w:smallCaps/>
        </w:rPr>
        <w:t>Cardozo Arts &amp; Ent. L.J.</w:t>
      </w:r>
      <w:r>
        <w:t xml:space="preserve"> 655, 662 (2024) (“The </w:t>
      </w:r>
      <w:r>
        <w:rPr>
          <w:i/>
        </w:rPr>
        <w:t>Warhol</w:t>
      </w:r>
      <w:r>
        <w:t xml:space="preserve"> Court diminished the importance of an inquiry into whether a work was transformative.”).</w:t>
      </w:r>
    </w:p>
  </w:footnote>
  <w:footnote w:id="92">
    <w:p w14:paraId="6A128A39" w14:textId="77777777" w:rsidR="00A75C8E" w:rsidRDefault="004C556B">
      <w:pPr>
        <w:pStyle w:val="FootnoteText"/>
      </w:pPr>
      <w:r w:rsidRPr="00711863">
        <w:rPr>
          <w:rStyle w:val="FootnoteCharacters"/>
        </w:rPr>
        <w:footnoteRef/>
      </w:r>
      <w:r>
        <w:t xml:space="preserve"> </w:t>
      </w:r>
      <w:r>
        <w:rPr>
          <w:i/>
        </w:rPr>
        <w:t>Warhol</w:t>
      </w:r>
      <w:r>
        <w:t xml:space="preserve">, 598 U.S. at 525–27; </w:t>
      </w:r>
      <w:r>
        <w:rPr>
          <w:i/>
        </w:rPr>
        <w:t>Campbell</w:t>
      </w:r>
      <w:r>
        <w:t>, 510 U.S. at 579.</w:t>
      </w:r>
    </w:p>
  </w:footnote>
  <w:footnote w:id="93">
    <w:p w14:paraId="644D9993" w14:textId="77777777" w:rsidR="00A75C8E" w:rsidRDefault="004C556B">
      <w:pPr>
        <w:pStyle w:val="FootnoteText"/>
      </w:pPr>
      <w:r w:rsidRPr="00711863">
        <w:rPr>
          <w:rStyle w:val="FootnoteCharacters"/>
        </w:rPr>
        <w:footnoteRef/>
      </w:r>
      <w:r>
        <w:t xml:space="preserve"> </w:t>
      </w:r>
      <w:r>
        <w:rPr>
          <w:i/>
          <w:iCs/>
        </w:rPr>
        <w:t>Google Books</w:t>
      </w:r>
      <w:r>
        <w:t xml:space="preserve">, 804 F.3d at 217–26; </w:t>
      </w:r>
      <w:r>
        <w:rPr>
          <w:i/>
        </w:rPr>
        <w:t>Warhol</w:t>
      </w:r>
      <w:r>
        <w:t>, 598 U.S. at 523–28.</w:t>
      </w:r>
    </w:p>
  </w:footnote>
  <w:footnote w:id="94">
    <w:p w14:paraId="100999B0" w14:textId="77777777" w:rsidR="00A75C8E" w:rsidRDefault="004C556B">
      <w:pPr>
        <w:pStyle w:val="FootnoteText"/>
      </w:pPr>
      <w:r w:rsidRPr="00711863">
        <w:rPr>
          <w:rStyle w:val="FootnoteCharacters"/>
        </w:rPr>
        <w:footnoteRef/>
      </w:r>
      <w:r>
        <w:t xml:space="preserve"> </w:t>
      </w:r>
      <w:r>
        <w:rPr>
          <w:i/>
        </w:rPr>
        <w:t>Warhol</w:t>
      </w:r>
      <w:r>
        <w:t xml:space="preserve">, 598 U.S. at 531–33. Some scholars are happy with this </w:t>
      </w:r>
      <w:proofErr w:type="gramStart"/>
      <w:r>
        <w:t>result</w:t>
      </w:r>
      <w:proofErr w:type="gramEnd"/>
      <w:r>
        <w:t xml:space="preserve"> and some are not; </w:t>
      </w:r>
      <w:r>
        <w:rPr>
          <w:i/>
          <w:iCs/>
        </w:rPr>
        <w:t>compare</w:t>
      </w:r>
      <w:r>
        <w:t xml:space="preserve"> </w:t>
      </w:r>
      <w:proofErr w:type="spellStart"/>
      <w:r>
        <w:t>Shyamkrishna</w:t>
      </w:r>
      <w:proofErr w:type="spellEnd"/>
      <w:r>
        <w:t xml:space="preserve"> Balganesh &amp; Peter S. Menell, </w:t>
      </w:r>
      <w:r>
        <w:rPr>
          <w:i/>
          <w:iCs/>
        </w:rPr>
        <w:t>Going “Beyond” Mere Transformation: Warhol and Reconciliation of the Derivative Work Right and Fair Use</w:t>
      </w:r>
      <w:r>
        <w:t xml:space="preserve">, 47 </w:t>
      </w:r>
      <w:r>
        <w:rPr>
          <w:smallCaps/>
        </w:rPr>
        <w:t>Colum. J.L. &amp; Arts</w:t>
      </w:r>
      <w:r>
        <w:t xml:space="preserve"> 413 (2024), </w:t>
      </w:r>
      <w:r>
        <w:rPr>
          <w:i/>
          <w:iCs/>
        </w:rPr>
        <w:t>with</w:t>
      </w:r>
      <w:r>
        <w:t xml:space="preserve"> Mark A. Lemley &amp; Rebecca Tushnet, </w:t>
      </w:r>
      <w:r>
        <w:rPr>
          <w:i/>
          <w:iCs/>
        </w:rPr>
        <w:t>First Amendment Neglect in Supreme Court Intellectual Property Cases</w:t>
      </w:r>
      <w:r>
        <w:t xml:space="preserve">, 2023 </w:t>
      </w:r>
      <w:r>
        <w:rPr>
          <w:smallCaps/>
        </w:rPr>
        <w:t>Sup. Ct. Rev.</w:t>
      </w:r>
      <w:r>
        <w:t xml:space="preserve"> 85.</w:t>
      </w:r>
    </w:p>
  </w:footnote>
  <w:footnote w:id="95">
    <w:p w14:paraId="5B599D06" w14:textId="77777777" w:rsidR="00A75C8E" w:rsidRDefault="004C556B">
      <w:pPr>
        <w:pStyle w:val="FootnoteText"/>
      </w:pPr>
      <w:r w:rsidRPr="00711863">
        <w:rPr>
          <w:rStyle w:val="FootnoteCharacters"/>
        </w:rPr>
        <w:footnoteRef/>
      </w:r>
      <w:r>
        <w:t xml:space="preserve"> Harper &amp; Row, Publishers, Inc. v. Nation Enters., 471 U.S. 539, 566 (1985).</w:t>
      </w:r>
    </w:p>
  </w:footnote>
  <w:footnote w:id="96">
    <w:p w14:paraId="17E9CFD7" w14:textId="77777777" w:rsidR="00A75C8E" w:rsidRDefault="004C556B">
      <w:pPr>
        <w:pStyle w:val="FootnoteText"/>
      </w:pPr>
      <w:r w:rsidRPr="00711863">
        <w:rPr>
          <w:rStyle w:val="FootnoteCharacters"/>
        </w:rPr>
        <w:footnoteRef/>
      </w:r>
      <w:r>
        <w:t xml:space="preserve"> </w:t>
      </w:r>
      <w:r>
        <w:rPr>
          <w:i/>
          <w:iCs/>
        </w:rPr>
        <w:t>Google Books</w:t>
      </w:r>
      <w:r>
        <w:t>, 804 F.3d at 217–26.</w:t>
      </w:r>
    </w:p>
  </w:footnote>
  <w:footnote w:id="97">
    <w:p w14:paraId="7FD72AB7" w14:textId="77777777" w:rsidR="00A75C8E" w:rsidRDefault="004C556B">
      <w:pPr>
        <w:pStyle w:val="FootnoteText"/>
      </w:pPr>
      <w:r w:rsidRPr="00711863">
        <w:rPr>
          <w:rStyle w:val="FootnoteCharacters"/>
        </w:rPr>
        <w:footnoteRef/>
      </w:r>
      <w:r>
        <w:t xml:space="preserve"> </w:t>
      </w:r>
      <w:r>
        <w:rPr>
          <w:i/>
          <w:iCs/>
        </w:rPr>
        <w:t>See</w:t>
      </w:r>
      <w:r>
        <w:t xml:space="preserve"> Jennifer E. Rothman, </w:t>
      </w:r>
      <w:r>
        <w:rPr>
          <w:i/>
          <w:iCs/>
        </w:rPr>
        <w:t>The Right of Publicity’s Intellectual Property Turn</w:t>
      </w:r>
      <w:r>
        <w:t xml:space="preserve">, 42 </w:t>
      </w:r>
      <w:r>
        <w:rPr>
          <w:smallCaps/>
        </w:rPr>
        <w:t>Colum. J.L. &amp; Arts</w:t>
      </w:r>
      <w:r>
        <w:t xml:space="preserve"> 277 (2019) (providing an extensive history and analysis of the right of publicity’s journey into the realm of intellectual property law); </w:t>
      </w:r>
      <w:r>
        <w:rPr>
          <w:smallCaps/>
        </w:rPr>
        <w:t>Rothman’s Roadmap to the Right of Publicity</w:t>
      </w:r>
      <w:r>
        <w:t xml:space="preserve">, https://rightofpublicityroadmap.com/; Blanke, </w:t>
      </w:r>
      <w:r>
        <w:rPr>
          <w:i/>
          <w:iCs/>
        </w:rPr>
        <w:t>supra</w:t>
      </w:r>
      <w:r>
        <w:t xml:space="preserve"> note 2, at 61–65 (discussing the intersections between and among copyright law, the right of publicity, and the First Amendment).</w:t>
      </w:r>
    </w:p>
  </w:footnote>
  <w:footnote w:id="98">
    <w:p w14:paraId="7C8EB6D9" w14:textId="77777777" w:rsidR="00A75C8E" w:rsidRDefault="004C556B">
      <w:pPr>
        <w:pStyle w:val="FootnoteText"/>
      </w:pPr>
      <w:r w:rsidRPr="00711863">
        <w:rPr>
          <w:rStyle w:val="FootnoteCharacters"/>
        </w:rPr>
        <w:footnoteRef/>
      </w:r>
      <w:r>
        <w:t xml:space="preserve"> This transformative test is borrowed from and similar to copyright’s “transformation” analysis: “Nonetheless, the first fair use factor ‘the purpose and character of the use’ . . . does seem particularly pertinent to the task of reconciling the rights of free expression and publicity. As the Supreme Court has stated, the central purpose of the inquiry into this fair use factor ‘is to see, in Justice Story’s words, whether the new work merely “supersede[s] the objects” of the original creation, . . . or instead adds something new, with a further purpose or different character, altering the first with new expression, meaning, or message; it asks, in other words, whether and to what extent the new work is “transformative.” . . . Although such transformative use is not absolutely necessary for a finding of fair use, . . . the goal of copyright, to promote science and the arts, is generally furthered by the creation of transformative works.’” Comedy III Prods., Inc. v. Gary Saderup, Inc., 25 Cal. 4th 387, 404 (2001). “This inquiry into whether a work is ‘transformative’ appears to us to be necessarily at the heart of any judicial attempt to square the right of publicity with the First Amendment. As the above quotation suggests, both the First Amendment and copyright law have a common goal of encouragement of free expression and creativity, the former by protecting such expression from government interference, the latter by protecting the creative fruits of intellectual and artistic labor.” </w:t>
      </w:r>
      <w:r>
        <w:rPr>
          <w:i/>
          <w:iCs/>
        </w:rPr>
        <w:t>Id</w:t>
      </w:r>
      <w:r>
        <w:rPr>
          <w:i/>
        </w:rPr>
        <w:t>.</w:t>
      </w:r>
      <w:r>
        <w:t xml:space="preserve"> at 404–05.</w:t>
      </w:r>
    </w:p>
  </w:footnote>
  <w:footnote w:id="99">
    <w:p w14:paraId="0A099327" w14:textId="77777777" w:rsidR="00A75C8E" w:rsidRDefault="004C556B">
      <w:pPr>
        <w:pStyle w:val="FootnoteText"/>
      </w:pPr>
      <w:r w:rsidRPr="00711863">
        <w:rPr>
          <w:rStyle w:val="FootnoteCharacters"/>
        </w:rPr>
        <w:footnoteRef/>
      </w:r>
      <w:r>
        <w:t xml:space="preserve"> Kirby v. Sega of Am., Inc., 144 Cal. App. 4th 47 (2006) (holding that an animated character inspired by a real performer was sufficiently transformative to merit First Amendment protection).</w:t>
      </w:r>
    </w:p>
  </w:footnote>
  <w:footnote w:id="100">
    <w:p w14:paraId="2C5EFD6F" w14:textId="77777777" w:rsidR="00A75C8E" w:rsidRDefault="004C556B">
      <w:pPr>
        <w:pStyle w:val="FootnoteText"/>
      </w:pPr>
      <w:r w:rsidRPr="00711863">
        <w:rPr>
          <w:rStyle w:val="FootnoteCharacters"/>
        </w:rPr>
        <w:footnoteRef/>
      </w:r>
      <w:r>
        <w:t xml:space="preserve"> </w:t>
      </w:r>
      <w:r>
        <w:rPr>
          <w:i/>
          <w:iCs/>
        </w:rPr>
        <w:t>Id.</w:t>
      </w:r>
      <w:r>
        <w:t xml:space="preserve"> at 58–60 (finding transformative use where the character “</w:t>
      </w:r>
      <w:proofErr w:type="spellStart"/>
      <w:r>
        <w:t>Ulala</w:t>
      </w:r>
      <w:proofErr w:type="spellEnd"/>
      <w:r>
        <w:t>” conveyed independent expressive content and existed in a distinct creative universe).</w:t>
      </w:r>
    </w:p>
  </w:footnote>
  <w:footnote w:id="101">
    <w:p w14:paraId="532D62FD" w14:textId="77777777" w:rsidR="00A75C8E" w:rsidRDefault="004C556B">
      <w:pPr>
        <w:pStyle w:val="FootnoteText"/>
      </w:pPr>
      <w:r w:rsidRPr="00711863">
        <w:rPr>
          <w:rStyle w:val="FootnoteCharacters"/>
        </w:rPr>
        <w:footnoteRef/>
      </w:r>
      <w:r>
        <w:t xml:space="preserve"> </w:t>
      </w:r>
      <w:r>
        <w:rPr>
          <w:i/>
        </w:rPr>
        <w:t>Compare</w:t>
      </w:r>
      <w:r>
        <w:t xml:space="preserve"> Bright Tunes Music Corp. v. </w:t>
      </w:r>
      <w:proofErr w:type="spellStart"/>
      <w:r>
        <w:t>Harrisongs</w:t>
      </w:r>
      <w:proofErr w:type="spellEnd"/>
      <w:r>
        <w:t xml:space="preserve"> Music, Ltd., 420 F. Supp. 177 (S.D.N.Y. 1976) (finding infringement where George Harrison “subconsciously” copied “He’s So Fine”), </w:t>
      </w:r>
      <w:r>
        <w:rPr>
          <w:i/>
        </w:rPr>
        <w:t>aff’d</w:t>
      </w:r>
      <w:r>
        <w:t xml:space="preserve">, 722 F.2d 988 (2d Cir. 1983), </w:t>
      </w:r>
      <w:r>
        <w:rPr>
          <w:i/>
        </w:rPr>
        <w:t>with</w:t>
      </w:r>
      <w:r>
        <w:t xml:space="preserve"> Williams v. Gaye, 885 F.3d 1150 (9th Cir. 2018) (upholding liability for reproducing the “vibe” of “Got to Give It Up”), </w:t>
      </w:r>
      <w:r>
        <w:rPr>
          <w:i/>
        </w:rPr>
        <w:t>and</w:t>
      </w:r>
      <w:r>
        <w:t xml:space="preserve"> </w:t>
      </w:r>
      <w:r>
        <w:rPr>
          <w:i/>
        </w:rPr>
        <w:t>Kirby</w:t>
      </w:r>
      <w:r>
        <w:t>, 144 Cal. App. 4th 47 (finding transformative use in an expressive video-game character) (illustrating the continuum between stylistic imitation and protected creative transformation).</w:t>
      </w:r>
    </w:p>
  </w:footnote>
  <w:footnote w:id="102">
    <w:p w14:paraId="0F3B71AF" w14:textId="77777777" w:rsidR="00A75C8E" w:rsidRDefault="004C556B">
      <w:pPr>
        <w:pStyle w:val="FootnoteText"/>
      </w:pPr>
      <w:r w:rsidRPr="00711863">
        <w:rPr>
          <w:rStyle w:val="FootnoteCharacters"/>
        </w:rPr>
        <w:footnoteRef/>
      </w:r>
      <w:r>
        <w:t xml:space="preserve"> No Doubt v. Activision Publ’g, Inc., 192 Cal. App. 4th 1018 (2011) (holding that realistic digital avatars of a band performing songs in a video game were not transformative and violated the right of publicity).</w:t>
      </w:r>
    </w:p>
  </w:footnote>
  <w:footnote w:id="103">
    <w:p w14:paraId="7684FE05" w14:textId="77777777" w:rsidR="00A75C8E" w:rsidRDefault="004C556B">
      <w:pPr>
        <w:pStyle w:val="FootnoteText"/>
      </w:pPr>
      <w:r w:rsidRPr="00711863">
        <w:rPr>
          <w:rStyle w:val="FootnoteCharacters"/>
        </w:rPr>
        <w:footnoteRef/>
      </w:r>
      <w:r>
        <w:t xml:space="preserve"> </w:t>
      </w:r>
      <w:r>
        <w:rPr>
          <w:i/>
          <w:iCs/>
        </w:rPr>
        <w:t>Id.</w:t>
      </w:r>
      <w:r>
        <w:t xml:space="preserve"> at 1034–37 (finding avatars unprotected where they “merely replicated” the band members’ likenesses and performed under their real names).</w:t>
      </w:r>
    </w:p>
  </w:footnote>
  <w:footnote w:id="104">
    <w:p w14:paraId="6711EF8A" w14:textId="77777777" w:rsidR="00A75C8E" w:rsidRDefault="004C556B">
      <w:pPr>
        <w:pStyle w:val="FootnoteText"/>
      </w:pPr>
      <w:r w:rsidRPr="00711863">
        <w:rPr>
          <w:rStyle w:val="FootnoteCharacters"/>
        </w:rPr>
        <w:footnoteRef/>
      </w:r>
      <w:r>
        <w:t xml:space="preserve"> Blanke, </w:t>
      </w:r>
      <w:r>
        <w:rPr>
          <w:i/>
          <w:iCs/>
        </w:rPr>
        <w:t>supra</w:t>
      </w:r>
      <w:r>
        <w:t xml:space="preserve"> note 2, at 29 (setting out the “Band Hero on Steroids” hypothetical to illustrate future conflicts between simulation and authorship).</w:t>
      </w:r>
    </w:p>
  </w:footnote>
  <w:footnote w:id="105">
    <w:p w14:paraId="361F665D" w14:textId="77777777" w:rsidR="00A75C8E" w:rsidRDefault="004C556B">
      <w:pPr>
        <w:pStyle w:val="FootnoteText"/>
      </w:pPr>
      <w:r w:rsidRPr="00711863">
        <w:rPr>
          <w:rStyle w:val="FootnoteCharacters"/>
        </w:rPr>
        <w:footnoteRef/>
      </w:r>
      <w:r>
        <w:t xml:space="preserve"> </w:t>
      </w:r>
      <w:r>
        <w:rPr>
          <w:i/>
          <w:iCs/>
        </w:rPr>
        <w:t>Id.</w:t>
      </w:r>
      <w:r>
        <w:t xml:space="preserve"> at 60–61 (raising questions about the ownership and authorship of works created through digital performance technologies and predicting the emergence of AI-like systems that could generate songs in the style of any artist).</w:t>
      </w:r>
    </w:p>
  </w:footnote>
  <w:footnote w:id="106">
    <w:p w14:paraId="6DA6C078" w14:textId="77777777" w:rsidR="00A75C8E" w:rsidRDefault="004C556B">
      <w:pPr>
        <w:pStyle w:val="FootnoteText"/>
      </w:pPr>
      <w:r w:rsidRPr="00711863">
        <w:rPr>
          <w:rStyle w:val="FootnoteCharacters"/>
        </w:rPr>
        <w:footnoteRef/>
      </w:r>
      <w:r>
        <w:t xml:space="preserve"> “[E]</w:t>
      </w:r>
      <w:proofErr w:type="spellStart"/>
      <w:r>
        <w:t>ntire</w:t>
      </w:r>
      <w:proofErr w:type="spellEnd"/>
      <w:r>
        <w:t xml:space="preserve"> . . . songs can be generated within seconds with minimal human direction. With enough computational power, professional musical works can be generated faster than it takes to listen to them.” Zachary Cooper, </w:t>
      </w:r>
      <w:r>
        <w:rPr>
          <w:i/>
          <w:iCs/>
        </w:rPr>
        <w:t xml:space="preserve">The AI Authorship Distraction: Why Copyright Should Not Be </w:t>
      </w:r>
      <w:proofErr w:type="spellStart"/>
      <w:r>
        <w:rPr>
          <w:i/>
          <w:iCs/>
        </w:rPr>
        <w:t>Dichotomised</w:t>
      </w:r>
      <w:proofErr w:type="spellEnd"/>
      <w:r>
        <w:rPr>
          <w:i/>
          <w:iCs/>
        </w:rPr>
        <w:t xml:space="preserve"> Based on Generative AI Use</w:t>
      </w:r>
      <w:r>
        <w:t xml:space="preserve">, 72 </w:t>
      </w:r>
      <w:r>
        <w:rPr>
          <w:smallCaps/>
        </w:rPr>
        <w:t>J. Copyright Soc’y</w:t>
      </w:r>
      <w:r>
        <w:t xml:space="preserve"> 1251, 1251–52 (2025).</w:t>
      </w:r>
    </w:p>
  </w:footnote>
  <w:footnote w:id="107">
    <w:p w14:paraId="3132AEC3" w14:textId="77777777" w:rsidR="00A75C8E" w:rsidRDefault="004C556B">
      <w:pPr>
        <w:pStyle w:val="FootnoteText"/>
      </w:pPr>
      <w:r w:rsidRPr="00711863">
        <w:rPr>
          <w:rStyle w:val="FootnoteCharacters"/>
        </w:rPr>
        <w:footnoteRef/>
      </w:r>
      <w:r>
        <w:t xml:space="preserve"> </w:t>
      </w:r>
      <w:r>
        <w:rPr>
          <w:i/>
          <w:iCs/>
        </w:rPr>
        <w:t>See</w:t>
      </w:r>
      <w:r>
        <w:t xml:space="preserve"> Blanke, </w:t>
      </w:r>
      <w:r>
        <w:rPr>
          <w:i/>
          <w:iCs/>
        </w:rPr>
        <w:t>supra</w:t>
      </w:r>
      <w:r>
        <w:t xml:space="preserve"> note 2, at 29–57 (surveying divergent state approaches). State right-of-publicity laws vary greatly from state to state. California’s 70-year term now extends to “digital replicas” under A.B. 1836 (effective Jan. 1, 2025), and Tennessee’s Ensuring Likeness, Voice, and Image Security (ELVIS) Act of 2024, </w:t>
      </w:r>
      <w:r>
        <w:rPr>
          <w:smallCaps/>
        </w:rPr>
        <w:t>Tenn. Code Ann.</w:t>
      </w:r>
      <w:r>
        <w:t xml:space="preserve"> § 47-25-1101 (2024), explicitly protects voice cloning.</w:t>
      </w:r>
    </w:p>
  </w:footnote>
  <w:footnote w:id="108">
    <w:p w14:paraId="0067295D" w14:textId="77777777" w:rsidR="00A75C8E" w:rsidRDefault="004C556B">
      <w:pPr>
        <w:pStyle w:val="FootnoteText"/>
      </w:pPr>
      <w:r w:rsidRPr="00711863">
        <w:rPr>
          <w:rStyle w:val="FootnoteCharacters"/>
        </w:rPr>
        <w:footnoteRef/>
      </w:r>
      <w:r>
        <w:t xml:space="preserve"> Zacchini v. Scripps-Howard Broad. Co., 433 U.S. 562 (1977) (holding that the First Amendment does not immunize the broadcast of an entire performance that appropriates the economic value of a human act).</w:t>
      </w:r>
    </w:p>
  </w:footnote>
  <w:footnote w:id="109">
    <w:p w14:paraId="10AA82F2" w14:textId="77777777" w:rsidR="00A75C8E" w:rsidRDefault="004C556B">
      <w:pPr>
        <w:pStyle w:val="FootnoteText"/>
      </w:pPr>
      <w:r w:rsidRPr="00711863">
        <w:rPr>
          <w:rStyle w:val="FootnoteCharacters"/>
        </w:rPr>
        <w:footnoteRef/>
      </w:r>
      <w:r>
        <w:t xml:space="preserve"> </w:t>
      </w:r>
      <w:r>
        <w:rPr>
          <w:i/>
          <w:iCs/>
        </w:rPr>
        <w:t>Id.</w:t>
      </w:r>
      <w:r>
        <w:t xml:space="preserve"> at 576 (“The rationale for (protecting the right of publicity) is the straightforward one of preventing unjust enrichment by the theft of good will.”); </w:t>
      </w:r>
      <w:r>
        <w:rPr>
          <w:i/>
          <w:iCs/>
        </w:rPr>
        <w:t>see</w:t>
      </w:r>
      <w:r>
        <w:t xml:space="preserve"> Rothman, </w:t>
      </w:r>
      <w:r>
        <w:rPr>
          <w:i/>
          <w:iCs/>
        </w:rPr>
        <w:t>supra</w:t>
      </w:r>
      <w:r>
        <w:t xml:space="preserve"> note 96. After </w:t>
      </w:r>
      <w:r>
        <w:rPr>
          <w:i/>
        </w:rPr>
        <w:t>Zacchini</w:t>
      </w:r>
      <w:r>
        <w:t xml:space="preserve">, courts expanded the right’s reach well beyond literal name or image. In </w:t>
      </w:r>
      <w:r>
        <w:rPr>
          <w:i/>
        </w:rPr>
        <w:t>Carson v. Here’s Johnny Portable Toilets, Inc.</w:t>
      </w:r>
      <w:r>
        <w:t xml:space="preserve">, the Sixth Circuit held that Johnny Carson’s catchphrase “Here’s Johnny!” was enough to evoke his identity. Carson v. Here’s Johnny Portable Toilets, Inc., 698 F.2d 831, 835 (6th Cir. 1983). The Ninth Circuit later extended this reasoning in </w:t>
      </w:r>
      <w:r>
        <w:rPr>
          <w:i/>
        </w:rPr>
        <w:t>White v. Samsung Electronics America, Inc.</w:t>
      </w:r>
      <w:r>
        <w:t>, where a robot in a blond wig turning letters on a game board was deemed to appropriate Vanna White’s persona. White v. Samsung Elecs. Am., Inc., 971 F.2d 1395, 1399 (9th Cir. 1992).</w:t>
      </w:r>
    </w:p>
  </w:footnote>
  <w:footnote w:id="110">
    <w:p w14:paraId="786E2D31" w14:textId="77777777" w:rsidR="00A75C8E" w:rsidRDefault="004C556B">
      <w:pPr>
        <w:pStyle w:val="FootnoteText"/>
      </w:pPr>
      <w:r w:rsidRPr="00711863">
        <w:rPr>
          <w:rStyle w:val="FootnoteCharacters"/>
        </w:rPr>
        <w:footnoteRef/>
      </w:r>
      <w:r>
        <w:t xml:space="preserve"> Comedy III Prods., Inc. v. Gary Saderup, Inc., 25 Cal. 4th 387, 406 (2001).</w:t>
      </w:r>
    </w:p>
  </w:footnote>
  <w:footnote w:id="111">
    <w:p w14:paraId="35C8B09C" w14:textId="77777777" w:rsidR="00A75C8E" w:rsidRDefault="004C556B">
      <w:pPr>
        <w:pStyle w:val="FootnoteText"/>
      </w:pPr>
      <w:r w:rsidRPr="00711863">
        <w:rPr>
          <w:rStyle w:val="FootnoteCharacters"/>
        </w:rPr>
        <w:footnoteRef/>
      </w:r>
      <w:r>
        <w:t xml:space="preserve"> Winter v. DC Comics, 30 Cal. 4th 881, 890 (2003).</w:t>
      </w:r>
    </w:p>
  </w:footnote>
  <w:footnote w:id="112">
    <w:p w14:paraId="6F2C2DA8" w14:textId="77777777" w:rsidR="00A75C8E" w:rsidRDefault="004C556B">
      <w:pPr>
        <w:pStyle w:val="FootnoteText"/>
      </w:pPr>
      <w:r w:rsidRPr="00711863">
        <w:rPr>
          <w:rStyle w:val="FootnoteCharacters"/>
        </w:rPr>
        <w:footnoteRef/>
      </w:r>
      <w:r>
        <w:t xml:space="preserve"> </w:t>
      </w:r>
      <w:r>
        <w:rPr>
          <w:i/>
        </w:rPr>
        <w:t>No Doubt</w:t>
      </w:r>
      <w:r>
        <w:t xml:space="preserve">, 192 Cal. App. 4th at 1034–35. Other jurisdictions employ different balancing tests. The Second Circuit’s </w:t>
      </w:r>
      <w:r>
        <w:rPr>
          <w:i/>
        </w:rPr>
        <w:t>Rogers v. Grimaldi</w:t>
      </w:r>
      <w:r>
        <w:t xml:space="preserve"> test asks whether a use of a name or mark has “artistic relevance” to an expressive work and is not “explicitly misleading.” Rogers v. Grimaldi, 875 F.2d 994, 999 (2d Cir. 1989). The Missouri Supreme Court’s “predominant-purpose” test in </w:t>
      </w:r>
      <w:r>
        <w:rPr>
          <w:i/>
        </w:rPr>
        <w:t>Doe v. TCI Cablevision</w:t>
      </w:r>
      <w:r>
        <w:t xml:space="preserve"> focuses on whether a work primarily exploits identity or communicates expression. Doe v. TCI Cablevision, 110 S.W.3d 363, 373 (Mo. 2003) (</w:t>
      </w:r>
      <w:proofErr w:type="spellStart"/>
      <w:r>
        <w:t>en</w:t>
      </w:r>
      <w:proofErr w:type="spellEnd"/>
      <w:r>
        <w:t xml:space="preserve"> banc).</w:t>
      </w:r>
    </w:p>
  </w:footnote>
  <w:footnote w:id="113">
    <w:p w14:paraId="0CE06FD5" w14:textId="185A407E" w:rsidR="00A75C8E" w:rsidRDefault="004C556B">
      <w:pPr>
        <w:pStyle w:val="FootnoteText"/>
      </w:pPr>
      <w:r w:rsidRPr="00711863">
        <w:rPr>
          <w:rStyle w:val="FootnoteCharacters"/>
        </w:rPr>
        <w:footnoteRef/>
      </w:r>
      <w:r>
        <w:t xml:space="preserve"> </w:t>
      </w:r>
      <w:r>
        <w:rPr>
          <w:i/>
          <w:iCs/>
        </w:rPr>
        <w:t>See</w:t>
      </w:r>
      <w:r>
        <w:rPr>
          <w:i/>
        </w:rPr>
        <w:t xml:space="preserve"> </w:t>
      </w:r>
      <w:r>
        <w:rPr>
          <w:i/>
          <w:iCs/>
        </w:rPr>
        <w:t>generally</w:t>
      </w:r>
      <w:r>
        <w:t xml:space="preserve"> </w:t>
      </w:r>
      <w:r>
        <w:rPr>
          <w:smallCaps/>
        </w:rPr>
        <w:t>Restatement (Third) of Unfair Competition</w:t>
      </w:r>
      <w:r>
        <w:t xml:space="preserve"> § 46 (</w:t>
      </w:r>
      <w:r>
        <w:rPr>
          <w:smallCaps/>
        </w:rPr>
        <w:t>Am. L. Inst.</w:t>
      </w:r>
      <w:r>
        <w:t xml:space="preserve"> 1995) (surveying right-of-publicity doctrines); 1 </w:t>
      </w:r>
      <w:r>
        <w:rPr>
          <w:smallCaps/>
        </w:rPr>
        <w:t>J. Thomas McCarthy</w:t>
      </w:r>
      <w:r>
        <w:t xml:space="preserve">, </w:t>
      </w:r>
      <w:r>
        <w:rPr>
          <w:smallCaps/>
        </w:rPr>
        <w:t>The Rights of Publicity and Privacy</w:t>
      </w:r>
      <w:r>
        <w:t xml:space="preserve"> §§ 6:3 to 6:8 (2d ed. 2024).</w:t>
      </w:r>
    </w:p>
  </w:footnote>
  <w:footnote w:id="114">
    <w:p w14:paraId="192F0424" w14:textId="77777777" w:rsidR="00A75C8E" w:rsidRDefault="004C556B">
      <w:pPr>
        <w:pStyle w:val="FootnoteText"/>
      </w:pPr>
      <w:r w:rsidRPr="00711863">
        <w:rPr>
          <w:rStyle w:val="FootnoteCharacters"/>
        </w:rPr>
        <w:footnoteRef/>
      </w:r>
      <w:r>
        <w:t xml:space="preserve"> </w:t>
      </w:r>
      <w:r>
        <w:rPr>
          <w:smallCaps/>
        </w:rPr>
        <w:t>Cal. Civ. Code</w:t>
      </w:r>
      <w:r>
        <w:t xml:space="preserve"> § 3344 (West 2024); </w:t>
      </w:r>
      <w:r>
        <w:rPr>
          <w:smallCaps/>
        </w:rPr>
        <w:t>Cal. Civ. Code</w:t>
      </w:r>
      <w:r>
        <w:t xml:space="preserve"> § 3344.1 (West 2024); A.B. 1836, 2023–2024 Leg., Reg. Sess. (Cal. 2024) (amending § 3344.1 to address “digital replicas,” effective Jan. 1, 2025).</w:t>
      </w:r>
    </w:p>
  </w:footnote>
  <w:footnote w:id="115">
    <w:p w14:paraId="3BBE90AD" w14:textId="77777777" w:rsidR="00A75C8E" w:rsidRDefault="004C556B">
      <w:pPr>
        <w:pStyle w:val="FootnoteText"/>
      </w:pPr>
      <w:r w:rsidRPr="00711863">
        <w:rPr>
          <w:rStyle w:val="FootnoteCharacters"/>
        </w:rPr>
        <w:footnoteRef/>
      </w:r>
      <w:r>
        <w:t xml:space="preserve"> </w:t>
      </w:r>
      <w:r>
        <w:rPr>
          <w:smallCaps/>
        </w:rPr>
        <w:t>N.Y. Civ. Rights Law</w:t>
      </w:r>
      <w:r>
        <w:t xml:space="preserve"> §§ 50–51 (McKinney 2024) (privacy-based publicity tort).</w:t>
      </w:r>
    </w:p>
  </w:footnote>
  <w:footnote w:id="116">
    <w:p w14:paraId="18C10E26" w14:textId="77777777" w:rsidR="00A75C8E" w:rsidRDefault="004C556B">
      <w:pPr>
        <w:pStyle w:val="FootnoteText"/>
      </w:pPr>
      <w:r w:rsidRPr="00711863">
        <w:rPr>
          <w:rStyle w:val="FootnoteCharacters"/>
        </w:rPr>
        <w:footnoteRef/>
      </w:r>
      <w:r>
        <w:t xml:space="preserve"> </w:t>
      </w:r>
      <w:r>
        <w:rPr>
          <w:smallCaps/>
        </w:rPr>
        <w:t>N.Y. Civ. Rights Law</w:t>
      </w:r>
      <w:r>
        <w:t xml:space="preserve"> § 50-f (McKinney 2024) (postmortem right for “deceased performers” and “deceased personalities”).</w:t>
      </w:r>
    </w:p>
  </w:footnote>
  <w:footnote w:id="117">
    <w:p w14:paraId="41487E5A" w14:textId="77777777" w:rsidR="00A75C8E" w:rsidRDefault="004C556B">
      <w:pPr>
        <w:pStyle w:val="FootnoteText"/>
      </w:pPr>
      <w:r w:rsidRPr="00711863">
        <w:rPr>
          <w:rStyle w:val="FootnoteCharacters"/>
        </w:rPr>
        <w:footnoteRef/>
      </w:r>
      <w:r>
        <w:t xml:space="preserve"> </w:t>
      </w:r>
      <w:r>
        <w:rPr>
          <w:smallCaps/>
        </w:rPr>
        <w:t>Ind. Code</w:t>
      </w:r>
      <w:r>
        <w:t xml:space="preserve"> § 32-36-1-8 (2024) (postmortem term up to 100 years).</w:t>
      </w:r>
    </w:p>
  </w:footnote>
  <w:footnote w:id="118">
    <w:p w14:paraId="15242587" w14:textId="77777777" w:rsidR="00A75C8E" w:rsidRDefault="004C556B">
      <w:pPr>
        <w:pStyle w:val="FootnoteText"/>
      </w:pPr>
      <w:r w:rsidRPr="00711863">
        <w:rPr>
          <w:rStyle w:val="FootnoteCharacters"/>
        </w:rPr>
        <w:footnoteRef/>
      </w:r>
      <w:r>
        <w:t xml:space="preserve"> </w:t>
      </w:r>
      <w:r>
        <w:rPr>
          <w:smallCaps/>
        </w:rPr>
        <w:t>Tenn. Code Ann.</w:t>
      </w:r>
      <w:r>
        <w:t xml:space="preserve"> § 47-25-1101 et seq. (2024) (protecting voice and other digital likeness uses).</w:t>
      </w:r>
    </w:p>
  </w:footnote>
  <w:footnote w:id="119">
    <w:p w14:paraId="26C075ED" w14:textId="77777777" w:rsidR="00A75C8E" w:rsidRDefault="004C556B">
      <w:pPr>
        <w:pStyle w:val="FootnoteText"/>
      </w:pPr>
      <w:r w:rsidRPr="00711863">
        <w:rPr>
          <w:rStyle w:val="FootnoteCharacters"/>
        </w:rPr>
        <w:footnoteRef/>
      </w:r>
      <w:r>
        <w:t xml:space="preserve"> </w:t>
      </w:r>
      <w:r>
        <w:rPr>
          <w:i/>
          <w:iCs/>
        </w:rPr>
        <w:t>See</w:t>
      </w:r>
      <w:r>
        <w:t xml:space="preserve"> Blanke, </w:t>
      </w:r>
      <w:r>
        <w:rPr>
          <w:i/>
          <w:iCs/>
        </w:rPr>
        <w:t>supra</w:t>
      </w:r>
      <w:r>
        <w:t xml:space="preserve"> note 2, at 60–61.</w:t>
      </w:r>
    </w:p>
  </w:footnote>
  <w:footnote w:id="120">
    <w:p w14:paraId="4078BC52" w14:textId="77777777" w:rsidR="00A75C8E" w:rsidRDefault="004C556B">
      <w:pPr>
        <w:pStyle w:val="FootnoteText"/>
      </w:pPr>
      <w:r w:rsidRPr="00711863">
        <w:rPr>
          <w:rStyle w:val="FootnoteCharacters"/>
        </w:rPr>
        <w:footnoteRef/>
      </w:r>
      <w:r>
        <w:t xml:space="preserve"> </w:t>
      </w:r>
      <w:r>
        <w:rPr>
          <w:i/>
          <w:iCs/>
        </w:rPr>
        <w:t>See</w:t>
      </w:r>
      <w:r>
        <w:t xml:space="preserve"> Allison Florence, Note, </w:t>
      </w:r>
      <w:r>
        <w:rPr>
          <w:i/>
          <w:iCs/>
        </w:rPr>
        <w:t>Name That Tune: How the Rapid Development of Artificial Intelligence Is Harming Vocalists and Voice Actors’ Right of Publicity</w:t>
      </w:r>
      <w:r>
        <w:t xml:space="preserve">, 63 </w:t>
      </w:r>
      <w:r>
        <w:rPr>
          <w:smallCaps/>
        </w:rPr>
        <w:t>U. Louisville L. Rev.</w:t>
      </w:r>
      <w:r>
        <w:t xml:space="preserve"> 627, 628 (2025) (discussing how musical performers like Taylor Swift and actors/voice performers like Stephen Fry have already experienced incidents where their images, voices, songs, and personas have been replicated and appropriated); Brian Contreras, </w:t>
      </w:r>
      <w:r>
        <w:rPr>
          <w:i/>
          <w:iCs/>
        </w:rPr>
        <w:t>Tougher AI Policies Could Protect Taylor Swift—And Everyone Else—From Deepfakes</w:t>
      </w:r>
      <w:r>
        <w:t xml:space="preserve">, </w:t>
      </w:r>
      <w:r>
        <w:rPr>
          <w:smallCaps/>
        </w:rPr>
        <w:t>Sci. Am.</w:t>
      </w:r>
      <w:r>
        <w:t xml:space="preserve"> (Feb. 8, 2024), https://www.scientificamerican.com/article/tougher-ai-policies-could-protect-taylor-swift-and-everyone-else-from-deepfakes/; Zach Sharf, </w:t>
      </w:r>
      <w:r>
        <w:rPr>
          <w:i/>
          <w:iCs/>
        </w:rPr>
        <w:t>Stephen Fry Shocked to Discover AI Stole His Voice From ‘Harry Potter’ Audiobooks and Replicated It Without Consent, Says His Agents ‘Went Ballistic’</w:t>
      </w:r>
      <w:r>
        <w:t xml:space="preserve">, </w:t>
      </w:r>
      <w:r>
        <w:rPr>
          <w:smallCaps/>
        </w:rPr>
        <w:t>Variety</w:t>
      </w:r>
      <w:r>
        <w:t xml:space="preserve"> (Sept. 19, 2023), https://variety.com/2023/film/news/stephen-fry-ai-stole-voice-harry-potter-audiobooks-1235727795/. </w:t>
      </w:r>
      <w:r>
        <w:rPr>
          <w:i/>
          <w:iCs/>
        </w:rPr>
        <w:t>See also</w:t>
      </w:r>
      <w:r>
        <w:t xml:space="preserve"> Melissa Schneider, Note, </w:t>
      </w:r>
      <w:r>
        <w:rPr>
          <w:i/>
          <w:iCs/>
        </w:rPr>
        <w:t>“Fake Drake”: Vindicating Copyright Ownership in the Advent of Generative AI Music</w:t>
      </w:r>
      <w:r>
        <w:t xml:space="preserve">, 98 </w:t>
      </w:r>
      <w:r>
        <w:rPr>
          <w:smallCaps/>
        </w:rPr>
        <w:t>S. Cal. L. Rev.</w:t>
      </w:r>
      <w:r>
        <w:t xml:space="preserve"> 663 (2025) (discussing how a viral new song, “Heart on My Sleeve,” purportedly by Drake and the </w:t>
      </w:r>
      <w:proofErr w:type="spellStart"/>
      <w:r>
        <w:t>Weeknd</w:t>
      </w:r>
      <w:proofErr w:type="spellEnd"/>
      <w:r>
        <w:t xml:space="preserve">, turned out to be nothing more than a song created by a music-generating AI program); Amanda Silberling, </w:t>
      </w:r>
      <w:r>
        <w:rPr>
          <w:i/>
          <w:iCs/>
        </w:rPr>
        <w:t xml:space="preserve">A New Drake x The </w:t>
      </w:r>
      <w:proofErr w:type="spellStart"/>
      <w:r>
        <w:rPr>
          <w:i/>
          <w:iCs/>
        </w:rPr>
        <w:t>Weeknd</w:t>
      </w:r>
      <w:proofErr w:type="spellEnd"/>
      <w:r>
        <w:rPr>
          <w:i/>
          <w:iCs/>
        </w:rPr>
        <w:t xml:space="preserve"> Track Just Blew Up—But It’s an AI Fake</w:t>
      </w:r>
      <w:r>
        <w:t xml:space="preserve">, </w:t>
      </w:r>
      <w:r>
        <w:rPr>
          <w:smallCaps/>
        </w:rPr>
        <w:t>TechCrunch</w:t>
      </w:r>
      <w:r>
        <w:t xml:space="preserve"> (Apr. 17, 2023), https://techcrunch.com/2023/04/17/uh-oh-an-ai-generated-song-by-drake-and-the-weeknd-went-viral; Samantha Murphy Kelly, </w:t>
      </w:r>
      <w:r>
        <w:rPr>
          <w:i/>
          <w:iCs/>
        </w:rPr>
        <w:t>The Viral New ‘Drake’ and ‘</w:t>
      </w:r>
      <w:proofErr w:type="spellStart"/>
      <w:r>
        <w:rPr>
          <w:i/>
          <w:iCs/>
        </w:rPr>
        <w:t>Weeknd</w:t>
      </w:r>
      <w:proofErr w:type="spellEnd"/>
      <w:r>
        <w:rPr>
          <w:i/>
          <w:iCs/>
        </w:rPr>
        <w:t>’ Song Is Not What It Seems</w:t>
      </w:r>
      <w:r>
        <w:t xml:space="preserve">, </w:t>
      </w:r>
      <w:r>
        <w:rPr>
          <w:smallCaps/>
        </w:rPr>
        <w:t>CNN</w:t>
      </w:r>
      <w:r>
        <w:t xml:space="preserve"> (Apr. 19, 2023), https://www.cnn.com/2023/04/19/tech/heart-on-sleeve-ai-drake-weeknd.</w:t>
      </w:r>
    </w:p>
  </w:footnote>
  <w:footnote w:id="121">
    <w:p w14:paraId="72DD6A9B" w14:textId="77777777" w:rsidR="00A75C8E" w:rsidRDefault="004C556B">
      <w:pPr>
        <w:pStyle w:val="FootnoteText"/>
      </w:pPr>
      <w:r w:rsidRPr="00711863">
        <w:rPr>
          <w:rStyle w:val="FootnoteCharacters"/>
        </w:rPr>
        <w:footnoteRef/>
      </w:r>
      <w:r>
        <w:t xml:space="preserve"> </w:t>
      </w:r>
      <w:r>
        <w:rPr>
          <w:i/>
        </w:rPr>
        <w:t>Comedy III</w:t>
      </w:r>
      <w:r>
        <w:t>, 25 Cal. 4th at 402–09.</w:t>
      </w:r>
    </w:p>
  </w:footnote>
  <w:footnote w:id="122">
    <w:p w14:paraId="334FADD3" w14:textId="77777777" w:rsidR="00A75C8E" w:rsidRDefault="004C556B">
      <w:pPr>
        <w:pStyle w:val="FootnoteText"/>
      </w:pPr>
      <w:r w:rsidRPr="00711863">
        <w:rPr>
          <w:rStyle w:val="FootnoteCharacters"/>
        </w:rPr>
        <w:footnoteRef/>
      </w:r>
      <w:r>
        <w:t xml:space="preserve"> </w:t>
      </w:r>
      <w:r>
        <w:rPr>
          <w:i/>
        </w:rPr>
        <w:t>Winter</w:t>
      </w:r>
      <w:r>
        <w:t>, 30 Cal. 4th at 890.</w:t>
      </w:r>
    </w:p>
  </w:footnote>
  <w:footnote w:id="123">
    <w:p w14:paraId="12CC58B0" w14:textId="77777777" w:rsidR="00A75C8E" w:rsidRDefault="004C556B">
      <w:pPr>
        <w:pStyle w:val="FootnoteText"/>
      </w:pPr>
      <w:r w:rsidRPr="00711863">
        <w:rPr>
          <w:rStyle w:val="FootnoteCharacters"/>
        </w:rPr>
        <w:footnoteRef/>
      </w:r>
      <w:r>
        <w:t xml:space="preserve"> </w:t>
      </w:r>
      <w:r>
        <w:rPr>
          <w:i/>
        </w:rPr>
        <w:t>Comedy III</w:t>
      </w:r>
      <w:r>
        <w:t>, 25 Cal. 4th at 404.</w:t>
      </w:r>
    </w:p>
  </w:footnote>
  <w:footnote w:id="124">
    <w:p w14:paraId="44731408" w14:textId="77777777" w:rsidR="00A75C8E" w:rsidRDefault="004C556B">
      <w:pPr>
        <w:pStyle w:val="FootnoteText"/>
      </w:pPr>
      <w:r w:rsidRPr="00711863">
        <w:rPr>
          <w:rStyle w:val="FootnoteCharacters"/>
        </w:rPr>
        <w:footnoteRef/>
      </w:r>
      <w:r>
        <w:t xml:space="preserve"> Campbell v. Acuff-Rose Music, Inc., 510 U.S. 569, 579 (1994).</w:t>
      </w:r>
    </w:p>
  </w:footnote>
  <w:footnote w:id="125">
    <w:p w14:paraId="0DD44450" w14:textId="77777777" w:rsidR="00A75C8E" w:rsidRDefault="004C556B">
      <w:pPr>
        <w:pStyle w:val="FootnoteText"/>
      </w:pPr>
      <w:r w:rsidRPr="00711863">
        <w:rPr>
          <w:rStyle w:val="FootnoteCharacters"/>
        </w:rPr>
        <w:footnoteRef/>
      </w:r>
      <w:r>
        <w:t xml:space="preserve"> </w:t>
      </w:r>
      <w:r>
        <w:rPr>
          <w:i/>
        </w:rPr>
        <w:t>Comedy III</w:t>
      </w:r>
      <w:r>
        <w:t>, 25 Cal. 4th at 404.</w:t>
      </w:r>
    </w:p>
  </w:footnote>
  <w:footnote w:id="126">
    <w:p w14:paraId="234D5687" w14:textId="77777777" w:rsidR="00A75C8E" w:rsidRDefault="004C556B">
      <w:pPr>
        <w:pStyle w:val="FootnoteText"/>
      </w:pPr>
      <w:r w:rsidRPr="00711863">
        <w:rPr>
          <w:rStyle w:val="FootnoteCharacters"/>
        </w:rPr>
        <w:footnoteRef/>
      </w:r>
      <w:r>
        <w:t xml:space="preserve"> </w:t>
      </w:r>
      <w:r>
        <w:rPr>
          <w:i/>
          <w:iCs/>
        </w:rPr>
        <w:t>Id.</w:t>
      </w:r>
      <w:r>
        <w:t xml:space="preserve"> at 408–09 (“Through distortion and the careful manipulation of context, Warhol was able to convey a message that went beyond the commercial exploitation of celebrity images and became a form of ironic social comment on the dehumanization of celebrity itself.”).</w:t>
      </w:r>
    </w:p>
  </w:footnote>
  <w:footnote w:id="127">
    <w:p w14:paraId="68FD4BFD" w14:textId="77777777" w:rsidR="00A75C8E" w:rsidRDefault="004C556B">
      <w:pPr>
        <w:pStyle w:val="FootnoteText"/>
      </w:pPr>
      <w:r w:rsidRPr="00711863">
        <w:rPr>
          <w:rStyle w:val="FootnoteCharacters"/>
        </w:rPr>
        <w:footnoteRef/>
      </w:r>
      <w:r>
        <w:t xml:space="preserve"> </w:t>
      </w:r>
      <w:r>
        <w:rPr>
          <w:i/>
          <w:iCs/>
        </w:rPr>
        <w:t>See</w:t>
      </w:r>
      <w:r>
        <w:t xml:space="preserve"> Calvin Tomkins, </w:t>
      </w:r>
      <w:r>
        <w:rPr>
          <w:i/>
          <w:iCs/>
        </w:rPr>
        <w:t>The Fame Factory: The True Subversiveness of Andy Warhol</w:t>
      </w:r>
      <w:r>
        <w:t xml:space="preserve">, </w:t>
      </w:r>
      <w:r>
        <w:rPr>
          <w:smallCaps/>
        </w:rPr>
        <w:t>New Yorker</w:t>
      </w:r>
      <w:r>
        <w:t xml:space="preserve"> (Nov. 24, 1997), https://www.newyorker.com/magazine/1997/12/01/the-fame-factory.</w:t>
      </w:r>
    </w:p>
  </w:footnote>
  <w:footnote w:id="128">
    <w:p w14:paraId="585905AC" w14:textId="77777777" w:rsidR="00A75C8E" w:rsidRDefault="004C556B">
      <w:pPr>
        <w:pStyle w:val="FootnoteText"/>
      </w:pPr>
      <w:r w:rsidRPr="00711863">
        <w:rPr>
          <w:rStyle w:val="FootnoteCharacters"/>
        </w:rPr>
        <w:footnoteRef/>
      </w:r>
      <w:r>
        <w:t xml:space="preserve"> </w:t>
      </w:r>
      <w:r>
        <w:rPr>
          <w:i/>
          <w:iCs/>
        </w:rPr>
        <w:t>Andy</w:t>
      </w:r>
      <w:r>
        <w:rPr>
          <w:i/>
        </w:rPr>
        <w:t xml:space="preserve"> </w:t>
      </w:r>
      <w:r>
        <w:rPr>
          <w:i/>
          <w:iCs/>
        </w:rPr>
        <w:t>Warhol Portraits: A Complete Guide</w:t>
      </w:r>
      <w:r>
        <w:t xml:space="preserve">, </w:t>
      </w:r>
      <w:r>
        <w:rPr>
          <w:smallCaps/>
        </w:rPr>
        <w:t>Guy Hepner</w:t>
      </w:r>
      <w:r>
        <w:t>, https://guyhepner.com/news/393-andy-warhol-portraits-a-complete-guide/.</w:t>
      </w:r>
    </w:p>
  </w:footnote>
  <w:footnote w:id="129">
    <w:p w14:paraId="6A3B6C60" w14:textId="77777777" w:rsidR="00A75C8E" w:rsidRDefault="004C556B">
      <w:pPr>
        <w:pStyle w:val="FootnoteText"/>
      </w:pPr>
      <w:r w:rsidRPr="00711863">
        <w:rPr>
          <w:rStyle w:val="FootnoteCharacters"/>
        </w:rPr>
        <w:footnoteRef/>
      </w:r>
      <w:r>
        <w:t xml:space="preserve"> </w:t>
      </w:r>
      <w:r>
        <w:rPr>
          <w:i/>
          <w:iCs/>
        </w:rPr>
        <w:t>But see</w:t>
      </w:r>
      <w:r>
        <w:t xml:space="preserve"> the dissenting opinion of Justice Kagan in Andy Warhol Found. for the Visual Arts, Inc. v. Goldsmith, 598 U.S. 508, 558–59 (2023) (Kagan, J., dissenting) (“You’ve probably heard of Andy Warhol; you’ve probably seen his art. You know that he reframed and reformulated—in a word, transformed—images created first by others. Campbell’s soup cans and Brillo boxes. Photos of celebrity icons: Marilyn, Elvis, Jackie, Liz—and, as most relevant here, Prince. That’s how Warhol earned his conspicuous place in every college’s Art History 101. </w:t>
      </w:r>
      <w:proofErr w:type="gramStart"/>
      <w:r>
        <w:t>So</w:t>
      </w:r>
      <w:proofErr w:type="gramEnd"/>
      <w:r>
        <w:t xml:space="preserve"> it may come as a surprise to see the majority describe the </w:t>
      </w:r>
      <w:proofErr w:type="gramStart"/>
      <w:r>
        <w:t>Prince</w:t>
      </w:r>
      <w:proofErr w:type="gramEnd"/>
      <w:r>
        <w:t xml:space="preserve"> silkscreen as a ‘modest alteration’ of Lynn Goldsmith’s photograph—the result of some ‘crop[ping]’ and ‘flatten[</w:t>
      </w:r>
      <w:proofErr w:type="spellStart"/>
      <w:r>
        <w:t>ing</w:t>
      </w:r>
      <w:proofErr w:type="spellEnd"/>
      <w:r>
        <w:t xml:space="preserve">]’—with the same ‘essential nature.’ . . . Or more generally, to observe the majority’s lack of appreciation for the way his works differ in both aesthetics and message from the original templates.”). </w:t>
      </w:r>
      <w:r>
        <w:rPr>
          <w:i/>
          <w:iCs/>
        </w:rPr>
        <w:t>See</w:t>
      </w:r>
      <w:r>
        <w:rPr>
          <w:i/>
        </w:rPr>
        <w:t xml:space="preserve"> </w:t>
      </w:r>
      <w:r>
        <w:rPr>
          <w:i/>
          <w:iCs/>
        </w:rPr>
        <w:t>also</w:t>
      </w:r>
      <w:r>
        <w:t xml:space="preserve"> Matthew Sag, </w:t>
      </w:r>
      <w:r>
        <w:rPr>
          <w:i/>
          <w:iCs/>
        </w:rPr>
        <w:t>Fairness and Fair Use in Generative AI</w:t>
      </w:r>
      <w:r>
        <w:t xml:space="preserve">, 92 </w:t>
      </w:r>
      <w:r>
        <w:rPr>
          <w:smallCaps/>
        </w:rPr>
        <w:t>Fordham L. Rev.</w:t>
      </w:r>
      <w:r>
        <w:t xml:space="preserve"> 1887, 1896 &amp; n.52 (2024).</w:t>
      </w:r>
    </w:p>
  </w:footnote>
  <w:footnote w:id="130">
    <w:p w14:paraId="04B9975D" w14:textId="77777777" w:rsidR="00A75C8E" w:rsidRDefault="004C556B">
      <w:pPr>
        <w:pStyle w:val="FootnoteText"/>
      </w:pPr>
      <w:r w:rsidRPr="00711863">
        <w:rPr>
          <w:rStyle w:val="FootnoteCharacters"/>
        </w:rPr>
        <w:footnoteRef/>
      </w:r>
      <w:r>
        <w:t xml:space="preserve"> </w:t>
      </w:r>
      <w:r>
        <w:rPr>
          <w:i/>
        </w:rPr>
        <w:t>Comedy III</w:t>
      </w:r>
      <w:r>
        <w:t xml:space="preserve">, 25 Cal. 4th at 409 (“Turning to </w:t>
      </w:r>
      <w:proofErr w:type="spellStart"/>
      <w:r>
        <w:t>Saderup’s</w:t>
      </w:r>
      <w:proofErr w:type="spellEnd"/>
      <w:r>
        <w:t xml:space="preserve"> work, we can discern no significant transformative or creative contribution. His undeniable skill is manifestly subordinated to the overall goal of creating literal, conventional depictions of The Three Stooges so as to exploit their fame.”); </w:t>
      </w:r>
      <w:r>
        <w:rPr>
          <w:i/>
          <w:iCs/>
        </w:rPr>
        <w:t>see</w:t>
      </w:r>
      <w:r>
        <w:rPr>
          <w:i/>
        </w:rPr>
        <w:t xml:space="preserve"> </w:t>
      </w:r>
      <w:r>
        <w:rPr>
          <w:i/>
          <w:iCs/>
        </w:rPr>
        <w:t>also</w:t>
      </w:r>
      <w:r>
        <w:t xml:space="preserve"> Jordan M. Blanke, </w:t>
      </w:r>
      <w:r>
        <w:rPr>
          <w:i/>
          <w:iCs/>
        </w:rPr>
        <w:t>Frank Miller’s Sin City College Football: A Game to Die For and Other Lessons About the Right of Publicity and Video Games</w:t>
      </w:r>
      <w:r>
        <w:t xml:space="preserve">, 72 </w:t>
      </w:r>
      <w:r>
        <w:rPr>
          <w:smallCaps/>
        </w:rPr>
        <w:t>Wash. &amp; Lee L. Rev.</w:t>
      </w:r>
      <w:r>
        <w:t xml:space="preserve"> 379, 392 (2015) (“Does the decision [about copyright protection] hinge upon the fame of the artist?”).</w:t>
      </w:r>
    </w:p>
  </w:footnote>
  <w:footnote w:id="131">
    <w:p w14:paraId="5EF08142" w14:textId="77777777" w:rsidR="00A75C8E" w:rsidRDefault="004C556B">
      <w:pPr>
        <w:pStyle w:val="FootnoteText"/>
      </w:pPr>
      <w:r w:rsidRPr="00711863">
        <w:rPr>
          <w:rStyle w:val="FootnoteCharacters"/>
        </w:rPr>
        <w:footnoteRef/>
      </w:r>
      <w:r>
        <w:t xml:space="preserve"> Andy Warhol Found. for the Visual Arts, Inc. v. Goldsmith, 598 U.S. 508, 520–21 (2023).</w:t>
      </w:r>
    </w:p>
  </w:footnote>
  <w:footnote w:id="132">
    <w:p w14:paraId="4B9B9CD7" w14:textId="77777777" w:rsidR="00A75C8E" w:rsidRDefault="004C556B">
      <w:pPr>
        <w:pStyle w:val="FootnoteText"/>
      </w:pPr>
      <w:r w:rsidRPr="00711863">
        <w:rPr>
          <w:rStyle w:val="FootnoteCharacters"/>
        </w:rPr>
        <w:footnoteRef/>
      </w:r>
      <w:r>
        <w:t xml:space="preserve"> </w:t>
      </w:r>
      <w:r>
        <w:rPr>
          <w:i/>
        </w:rPr>
        <w:t>Comedy III</w:t>
      </w:r>
      <w:r>
        <w:t xml:space="preserve">, 25 Cal. 4th 387; </w:t>
      </w:r>
      <w:r>
        <w:rPr>
          <w:i/>
        </w:rPr>
        <w:t>Campbell</w:t>
      </w:r>
      <w:r>
        <w:t xml:space="preserve">, 510 U.S. 569; </w:t>
      </w:r>
      <w:r>
        <w:rPr>
          <w:i/>
          <w:iCs/>
        </w:rPr>
        <w:t>see</w:t>
      </w:r>
      <w:r>
        <w:rPr>
          <w:i/>
        </w:rPr>
        <w:t xml:space="preserve"> </w:t>
      </w:r>
      <w:r>
        <w:rPr>
          <w:i/>
          <w:iCs/>
        </w:rPr>
        <w:t>also</w:t>
      </w:r>
      <w:r>
        <w:t xml:space="preserve"> </w:t>
      </w:r>
      <w:bookmarkStart w:id="39" w:name="_Hlk212468064_Copy_1"/>
      <w:bookmarkStart w:id="40" w:name="_Hlk212468064"/>
      <w:r>
        <w:t xml:space="preserve">Blanke, </w:t>
      </w:r>
      <w:r>
        <w:rPr>
          <w:i/>
          <w:iCs/>
        </w:rPr>
        <w:t>supra</w:t>
      </w:r>
      <w:r>
        <w:t xml:space="preserve"> note 129, at 392 (discussing Warhol’s use of Marilyn Monroe and the subjectivity of “transformation” in celebrity appropriation cases)</w:t>
      </w:r>
      <w:bookmarkEnd w:id="39"/>
      <w:bookmarkEnd w:id="40"/>
      <w:r>
        <w:t xml:space="preserve">; </w:t>
      </w:r>
      <w:r>
        <w:rPr>
          <w:i/>
          <w:iCs/>
        </w:rPr>
        <w:t>see</w:t>
      </w:r>
      <w:r>
        <w:rPr>
          <w:i/>
        </w:rPr>
        <w:t xml:space="preserve"> </w:t>
      </w:r>
      <w:proofErr w:type="gramStart"/>
      <w:r>
        <w:rPr>
          <w:i/>
          <w:iCs/>
        </w:rPr>
        <w:t>supra</w:t>
      </w:r>
      <w:r>
        <w:t xml:space="preserve"> Part</w:t>
      </w:r>
      <w:proofErr w:type="gramEnd"/>
      <w:r>
        <w:t xml:space="preserve"> 5.</w:t>
      </w:r>
    </w:p>
  </w:footnote>
  <w:footnote w:id="133">
    <w:p w14:paraId="2BDCB21B" w14:textId="77777777" w:rsidR="00A75C8E" w:rsidRDefault="004C556B">
      <w:pPr>
        <w:pStyle w:val="FootnoteText"/>
      </w:pPr>
      <w:r w:rsidRPr="00711863">
        <w:rPr>
          <w:rStyle w:val="FootnoteCharacters"/>
        </w:rPr>
        <w:footnoteRef/>
      </w:r>
      <w:r>
        <w:t xml:space="preserve"> Blanke, </w:t>
      </w:r>
      <w:r>
        <w:rPr>
          <w:i/>
          <w:iCs/>
        </w:rPr>
        <w:t>supra</w:t>
      </w:r>
      <w:r>
        <w:t xml:space="preserve"> note 2, at 38–39; Blanke, </w:t>
      </w:r>
      <w:r>
        <w:rPr>
          <w:i/>
          <w:iCs/>
        </w:rPr>
        <w:t>supra</w:t>
      </w:r>
      <w:r>
        <w:t xml:space="preserve"> note 129, at 392–93.</w:t>
      </w:r>
    </w:p>
  </w:footnote>
  <w:footnote w:id="134">
    <w:p w14:paraId="4CA99305" w14:textId="77777777" w:rsidR="00A75C8E" w:rsidRDefault="004C556B">
      <w:pPr>
        <w:pStyle w:val="FootnoteText"/>
      </w:pPr>
      <w:r w:rsidRPr="00711863">
        <w:rPr>
          <w:rStyle w:val="FootnoteCharacters"/>
        </w:rPr>
        <w:footnoteRef/>
      </w:r>
      <w:r>
        <w:t xml:space="preserve"> </w:t>
      </w:r>
      <w:r>
        <w:rPr>
          <w:i/>
          <w:iCs/>
        </w:rPr>
        <w:t>See</w:t>
      </w:r>
      <w:r>
        <w:t xml:space="preserve"> </w:t>
      </w:r>
      <w:r>
        <w:rPr>
          <w:smallCaps/>
        </w:rPr>
        <w:t>Copyright Office: Part 2</w:t>
      </w:r>
      <w:r>
        <w:t xml:space="preserve">, </w:t>
      </w:r>
      <w:r>
        <w:rPr>
          <w:i/>
          <w:iCs/>
        </w:rPr>
        <w:t>supra</w:t>
      </w:r>
      <w:r>
        <w:t xml:space="preserve"> note 1, at 12–22; </w:t>
      </w:r>
      <w:proofErr w:type="gramStart"/>
      <w:r>
        <w:rPr>
          <w:i/>
          <w:iCs/>
        </w:rPr>
        <w:t>supra</w:t>
      </w:r>
      <w:r>
        <w:t xml:space="preserve"> Part</w:t>
      </w:r>
      <w:proofErr w:type="gramEnd"/>
      <w:r>
        <w:t xml:space="preserve"> 4.</w:t>
      </w:r>
    </w:p>
  </w:footnote>
  <w:footnote w:id="135">
    <w:p w14:paraId="2079FF29" w14:textId="77777777" w:rsidR="00A75C8E" w:rsidRDefault="004C556B">
      <w:pPr>
        <w:pStyle w:val="FootnoteText"/>
      </w:pPr>
      <w:r w:rsidRPr="00711863">
        <w:rPr>
          <w:rStyle w:val="FootnoteCharacters"/>
        </w:rPr>
        <w:footnoteRef/>
      </w:r>
      <w:r>
        <w:t xml:space="preserve"> </w:t>
      </w:r>
      <w:r>
        <w:rPr>
          <w:i/>
          <w:iCs/>
        </w:rPr>
        <w:t>See</w:t>
      </w:r>
      <w:r>
        <w:t xml:space="preserve"> Blanke, </w:t>
      </w:r>
      <w:r>
        <w:rPr>
          <w:i/>
          <w:iCs/>
        </w:rPr>
        <w:t>supra</w:t>
      </w:r>
      <w:r>
        <w:t xml:space="preserve"> note 2, at 60–61.</w:t>
      </w:r>
    </w:p>
  </w:footnote>
  <w:footnote w:id="136">
    <w:p w14:paraId="033E814B" w14:textId="77777777" w:rsidR="00A75C8E" w:rsidRDefault="004C556B">
      <w:pPr>
        <w:pStyle w:val="FootnoteText"/>
      </w:pPr>
      <w:r w:rsidRPr="00711863">
        <w:rPr>
          <w:rStyle w:val="FootnoteCharacters"/>
        </w:rPr>
        <w:footnoteRef/>
      </w:r>
      <w:r>
        <w:t xml:space="preserve"> </w:t>
      </w:r>
      <w:r>
        <w:rPr>
          <w:i/>
          <w:iCs/>
        </w:rPr>
        <w:t>See</w:t>
      </w:r>
      <w:r>
        <w:t xml:space="preserve"> Baker v. Selden, 101 U.S. 99, 102 (1879) (holding that copyright does not extend to ideas, methods, or systems); Feist </w:t>
      </w:r>
      <w:proofErr w:type="spellStart"/>
      <w:r>
        <w:t>Publ’ns</w:t>
      </w:r>
      <w:proofErr w:type="spellEnd"/>
      <w:r>
        <w:t>, Inc. v. Rural Tel. Serv. Co., 499 U.S. 340, 345–48 (1991) (reaffirming that facts and ideas are not protected).</w:t>
      </w:r>
    </w:p>
  </w:footnote>
  <w:footnote w:id="137">
    <w:p w14:paraId="0FF2D2F8" w14:textId="5968D326" w:rsidR="00A75C8E" w:rsidRDefault="004C556B">
      <w:pPr>
        <w:pStyle w:val="FootnoteText"/>
      </w:pPr>
      <w:r w:rsidRPr="00711863">
        <w:rPr>
          <w:rStyle w:val="FootnoteCharacters"/>
        </w:rPr>
        <w:footnoteRef/>
      </w:r>
      <w:r>
        <w:t xml:space="preserve"> Copyright Registration Guidance, </w:t>
      </w:r>
      <w:r>
        <w:rPr>
          <w:i/>
          <w:iCs/>
        </w:rPr>
        <w:t>supra</w:t>
      </w:r>
      <w:r>
        <w:t xml:space="preserve"> note 1, at 16,191, 16,192–93 (limiting registration to human-authored expression and requiring applicants to disclaim autonomous AI material).</w:t>
      </w:r>
    </w:p>
  </w:footnote>
  <w:footnote w:id="138">
    <w:p w14:paraId="71943AD3" w14:textId="77777777" w:rsidR="00A75C8E" w:rsidRDefault="004C556B">
      <w:pPr>
        <w:pStyle w:val="FootnoteText"/>
      </w:pPr>
      <w:r w:rsidRPr="00711863">
        <w:rPr>
          <w:rStyle w:val="FootnoteCharacters"/>
        </w:rPr>
        <w:footnoteRef/>
      </w:r>
      <w:r>
        <w:t xml:space="preserve"> Sag, </w:t>
      </w:r>
      <w:r>
        <w:rPr>
          <w:i/>
          <w:iCs/>
        </w:rPr>
        <w:t>supra</w:t>
      </w:r>
      <w:r>
        <w:t xml:space="preserve"> note 128, </w:t>
      </w:r>
      <w:proofErr w:type="gramStart"/>
      <w:r>
        <w:t>at</w:t>
      </w:r>
      <w:proofErr w:type="gramEnd"/>
      <w:r>
        <w:t xml:space="preserve"> 1907.</w:t>
      </w:r>
    </w:p>
  </w:footnote>
  <w:footnote w:id="139">
    <w:p w14:paraId="5EA1B37A" w14:textId="77777777" w:rsidR="00A75C8E" w:rsidRDefault="004C556B">
      <w:pPr>
        <w:pStyle w:val="FootnoteText"/>
      </w:pPr>
      <w:r w:rsidRPr="00711863">
        <w:rPr>
          <w:rStyle w:val="FootnoteCharacters"/>
        </w:rPr>
        <w:footnoteRef/>
      </w:r>
      <w:r>
        <w:t xml:space="preserve"> Burrow-Giles Lithographic Co. v. </w:t>
      </w:r>
      <w:proofErr w:type="spellStart"/>
      <w:r>
        <w:t>Sarony</w:t>
      </w:r>
      <w:proofErr w:type="spellEnd"/>
      <w:r>
        <w:t>, 111 U.S. 53, 58–60 (1884) (recognizing authorship where photographer exercised creative control over composition).</w:t>
      </w:r>
    </w:p>
  </w:footnote>
  <w:footnote w:id="140">
    <w:p w14:paraId="7C6F2EB3" w14:textId="77777777" w:rsidR="00A75C8E" w:rsidRDefault="004C556B">
      <w:pPr>
        <w:pStyle w:val="FootnoteText"/>
      </w:pPr>
      <w:r w:rsidRPr="00711863">
        <w:rPr>
          <w:rStyle w:val="FootnoteCharacters"/>
        </w:rPr>
        <w:footnoteRef/>
      </w:r>
      <w:r>
        <w:t xml:space="preserve"> </w:t>
      </w:r>
      <w:r>
        <w:rPr>
          <w:i/>
          <w:iCs/>
        </w:rPr>
        <w:t>See</w:t>
      </w:r>
      <w:r>
        <w:t xml:space="preserve"> </w:t>
      </w:r>
      <w:r>
        <w:rPr>
          <w:smallCaps/>
        </w:rPr>
        <w:t>Copyright Office: Part 2</w:t>
      </w:r>
      <w:r>
        <w:t xml:space="preserve">, </w:t>
      </w:r>
      <w:r>
        <w:rPr>
          <w:i/>
        </w:rPr>
        <w:t>supra</w:t>
      </w:r>
      <w:r>
        <w:t xml:space="preserve"> note 1, at 13–22 (noting that prompt design alone does not establish </w:t>
      </w:r>
      <w:proofErr w:type="gramStart"/>
      <w:r>
        <w:t>authorship</w:t>
      </w:r>
      <w:proofErr w:type="gramEnd"/>
      <w:r>
        <w:t xml:space="preserve"> but iterative, creative prompting may).</w:t>
      </w:r>
    </w:p>
  </w:footnote>
  <w:footnote w:id="141">
    <w:p w14:paraId="505F91FF" w14:textId="25794D8B" w:rsidR="00A75C8E" w:rsidRDefault="004C556B">
      <w:pPr>
        <w:pStyle w:val="FootnoteText"/>
      </w:pPr>
      <w:r w:rsidRPr="00711863">
        <w:rPr>
          <w:rStyle w:val="FootnoteCharacters"/>
        </w:rPr>
        <w:footnoteRef/>
      </w:r>
      <w:r>
        <w:t xml:space="preserve"> </w:t>
      </w:r>
      <w:r>
        <w:rPr>
          <w:i/>
          <w:iCs/>
        </w:rPr>
        <w:t>See</w:t>
      </w:r>
      <w:r>
        <w:t xml:space="preserve"> Thaler v. Perlmutter, 687 F. Supp. 3d 140, 146 (D.D.C. 2023) (holding that works generated entirely by AI are uncopyrightable absent human authorship), </w:t>
      </w:r>
      <w:r>
        <w:rPr>
          <w:i/>
          <w:iCs/>
        </w:rPr>
        <w:t>aff’d</w:t>
      </w:r>
      <w:r>
        <w:t>, 130 F.4th 1039 (D.C. Cir. 2025).</w:t>
      </w:r>
    </w:p>
  </w:footnote>
  <w:footnote w:id="142">
    <w:p w14:paraId="7D70BEF9" w14:textId="77777777" w:rsidR="00A75C8E" w:rsidRDefault="004C556B">
      <w:pPr>
        <w:pStyle w:val="FootnoteText"/>
      </w:pPr>
      <w:r w:rsidRPr="00711863">
        <w:rPr>
          <w:rStyle w:val="FootnoteCharacters"/>
        </w:rPr>
        <w:footnoteRef/>
      </w:r>
      <w:r>
        <w:t xml:space="preserve"> </w:t>
      </w:r>
      <w:r>
        <w:rPr>
          <w:i/>
          <w:iCs/>
        </w:rPr>
        <w:t>Id.</w:t>
      </w:r>
      <w:r>
        <w:t xml:space="preserve"> at 146 (“United States copyright law protects only works of human creation.”); </w:t>
      </w:r>
      <w:r>
        <w:rPr>
          <w:smallCaps/>
        </w:rPr>
        <w:t>Copyright Office: Part 2</w:t>
      </w:r>
      <w:r>
        <w:t xml:space="preserve">, </w:t>
      </w:r>
      <w:r>
        <w:rPr>
          <w:i/>
          <w:iCs/>
        </w:rPr>
        <w:t>supra</w:t>
      </w:r>
      <w:r>
        <w:t xml:space="preserve"> note 1, at 27 (clarifying case-by-case analysis for AI-assisted works).</w:t>
      </w:r>
    </w:p>
  </w:footnote>
  <w:footnote w:id="143">
    <w:p w14:paraId="695B4067" w14:textId="77777777" w:rsidR="00A75C8E" w:rsidRDefault="004C556B">
      <w:pPr>
        <w:pStyle w:val="FootnoteText"/>
      </w:pPr>
      <w:r w:rsidRPr="00711863">
        <w:rPr>
          <w:rStyle w:val="FootnoteCharacters"/>
        </w:rPr>
        <w:footnoteRef/>
      </w:r>
      <w:r>
        <w:t xml:space="preserve"> </w:t>
      </w:r>
      <w:proofErr w:type="spellStart"/>
      <w:r>
        <w:t>Meshwerks</w:t>
      </w:r>
      <w:proofErr w:type="spellEnd"/>
      <w:r>
        <w:t>, Inc. v. Toyota Motor Sales U.S.A., Inc., 528 F.3d 1258, 1262–68 (10th Cir. 2008) (finding that a digital model that merely replicated an existing vehicle lacked original expression).</w:t>
      </w:r>
    </w:p>
  </w:footnote>
  <w:footnote w:id="144">
    <w:p w14:paraId="6CC2A979" w14:textId="77777777" w:rsidR="00A75C8E" w:rsidRDefault="004C556B">
      <w:pPr>
        <w:pStyle w:val="FootnoteText"/>
      </w:pPr>
      <w:r w:rsidRPr="00711863">
        <w:rPr>
          <w:rStyle w:val="FootnoteCharacters"/>
        </w:rPr>
        <w:footnoteRef/>
      </w:r>
      <w:r>
        <w:t xml:space="preserve"> </w:t>
      </w:r>
      <w:r>
        <w:rPr>
          <w:i/>
        </w:rPr>
        <w:t>Campbell</w:t>
      </w:r>
      <w:r>
        <w:t>, 510 U.S. at 579–83.</w:t>
      </w:r>
    </w:p>
  </w:footnote>
  <w:footnote w:id="145">
    <w:p w14:paraId="02EC830B" w14:textId="77777777" w:rsidR="00A75C8E" w:rsidRDefault="004C556B">
      <w:pPr>
        <w:pStyle w:val="FootnoteText"/>
      </w:pPr>
      <w:r w:rsidRPr="00711863">
        <w:rPr>
          <w:rStyle w:val="FootnoteCharacters"/>
        </w:rPr>
        <w:footnoteRef/>
      </w:r>
      <w:r>
        <w:t xml:space="preserve"> Authors Guild v. Google, Inc., 804 F.3d 202, 214–26 (2d Cir. 2015).</w:t>
      </w:r>
    </w:p>
  </w:footnote>
  <w:footnote w:id="146">
    <w:p w14:paraId="466BE8AE" w14:textId="77777777" w:rsidR="00A75C8E" w:rsidRDefault="004C556B">
      <w:pPr>
        <w:pStyle w:val="FootnoteText"/>
      </w:pPr>
      <w:r w:rsidRPr="00711863">
        <w:rPr>
          <w:rStyle w:val="FootnoteCharacters"/>
        </w:rPr>
        <w:footnoteRef/>
      </w:r>
      <w:r>
        <w:t xml:space="preserve"> Kelly v. Arriba Soft Corp., 336 F.3d 811, 818–22 (9th Cir. 2003) (finding thumbnail search images transformative because they served an informational purpose distinct from the originals).</w:t>
      </w:r>
    </w:p>
  </w:footnote>
  <w:footnote w:id="147">
    <w:p w14:paraId="34CA3115" w14:textId="77777777" w:rsidR="00A75C8E" w:rsidRDefault="004C556B">
      <w:pPr>
        <w:pStyle w:val="FootnoteText"/>
      </w:pPr>
      <w:r w:rsidRPr="00711863">
        <w:rPr>
          <w:rStyle w:val="FootnoteCharacters"/>
        </w:rPr>
        <w:footnoteRef/>
      </w:r>
      <w:r>
        <w:t xml:space="preserve"> Perfect 10, Inc. v. Amazon.com, Inc., 508 F.3d 1146, 1165–68 (9th Cir. 2007) (holding that image-search indexing constituted a transformative use furthering public access to information).</w:t>
      </w:r>
    </w:p>
  </w:footnote>
  <w:footnote w:id="148">
    <w:p w14:paraId="4BC9C340" w14:textId="39A0A730" w:rsidR="00A75C8E" w:rsidRDefault="004C556B">
      <w:pPr>
        <w:pStyle w:val="FootnoteText"/>
      </w:pPr>
      <w:r w:rsidRPr="00711863">
        <w:rPr>
          <w:rStyle w:val="FootnoteCharacters"/>
        </w:rPr>
        <w:footnoteRef/>
      </w:r>
      <w:r>
        <w:t xml:space="preserve"> </w:t>
      </w:r>
      <w:r>
        <w:rPr>
          <w:i/>
        </w:rPr>
        <w:t>See</w:t>
      </w:r>
      <w:r>
        <w:t xml:space="preserve"> Google LLC v. Oracle Am., Inc., 593 U.S. 1, 26–40 (2021); Authors Guild v. </w:t>
      </w:r>
      <w:proofErr w:type="spellStart"/>
      <w:r>
        <w:t>HathiTrust</w:t>
      </w:r>
      <w:proofErr w:type="spellEnd"/>
      <w:r>
        <w:t xml:space="preserve">, 755 F.3d 87, 96–99 (2d Cir. 2014) [hereinafter </w:t>
      </w:r>
      <w:proofErr w:type="spellStart"/>
      <w:r>
        <w:rPr>
          <w:i/>
          <w:iCs/>
        </w:rPr>
        <w:t>HathiTrust</w:t>
      </w:r>
      <w:proofErr w:type="spellEnd"/>
      <w:r>
        <w:t>].</w:t>
      </w:r>
    </w:p>
  </w:footnote>
  <w:footnote w:id="149">
    <w:p w14:paraId="1654592D" w14:textId="77777777" w:rsidR="00A75C8E" w:rsidRDefault="004C556B">
      <w:pPr>
        <w:pStyle w:val="FootnoteText"/>
      </w:pPr>
      <w:r w:rsidRPr="00711863">
        <w:rPr>
          <w:rStyle w:val="FootnoteCharacters"/>
        </w:rPr>
        <w:footnoteRef/>
      </w:r>
      <w:r>
        <w:t xml:space="preserve"> Mark A. Lemley &amp; Bryan Casey, </w:t>
      </w:r>
      <w:r>
        <w:rPr>
          <w:i/>
          <w:iCs/>
        </w:rPr>
        <w:t>Fair Learning</w:t>
      </w:r>
      <w:r>
        <w:t xml:space="preserve">, 99 </w:t>
      </w:r>
      <w:r>
        <w:rPr>
          <w:smallCaps/>
        </w:rPr>
        <w:t>Tex. L. Rev.</w:t>
      </w:r>
      <w:r>
        <w:t xml:space="preserve"> 743, 772 (2021).</w:t>
      </w:r>
    </w:p>
  </w:footnote>
  <w:footnote w:id="150">
    <w:p w14:paraId="3CEDCE8B" w14:textId="77777777" w:rsidR="00A75C8E" w:rsidRDefault="004C556B">
      <w:pPr>
        <w:pStyle w:val="FootnoteText"/>
      </w:pPr>
      <w:r w:rsidRPr="00711863">
        <w:rPr>
          <w:rStyle w:val="FootnoteCharacters"/>
        </w:rPr>
        <w:footnoteRef/>
      </w:r>
      <w:r>
        <w:t xml:space="preserve"> </w:t>
      </w:r>
      <w:r>
        <w:rPr>
          <w:i/>
          <w:iCs/>
        </w:rPr>
        <w:t>Id</w:t>
      </w:r>
      <w:r>
        <w:rPr>
          <w:i/>
        </w:rPr>
        <w:t>.</w:t>
      </w:r>
      <w:r>
        <w:t xml:space="preserve"> at 776.</w:t>
      </w:r>
    </w:p>
  </w:footnote>
  <w:footnote w:id="151">
    <w:p w14:paraId="0A197102" w14:textId="77777777" w:rsidR="00A75C8E" w:rsidRDefault="004C556B">
      <w:pPr>
        <w:pStyle w:val="FootnoteText"/>
      </w:pPr>
      <w:r w:rsidRPr="00711863">
        <w:rPr>
          <w:rStyle w:val="FootnoteCharacters"/>
        </w:rPr>
        <w:footnoteRef/>
      </w:r>
      <w:r>
        <w:t xml:space="preserve"> </w:t>
      </w:r>
      <w:r>
        <w:rPr>
          <w:smallCaps/>
        </w:rPr>
        <w:t>Copyright Office: Part 3</w:t>
      </w:r>
      <w:r>
        <w:t xml:space="preserve">, </w:t>
      </w:r>
      <w:r>
        <w:rPr>
          <w:i/>
        </w:rPr>
        <w:t>supra</w:t>
      </w:r>
      <w:r>
        <w:t xml:space="preserve"> note 1, at 61–84 (discussing fair use factor four).</w:t>
      </w:r>
    </w:p>
  </w:footnote>
  <w:footnote w:id="152">
    <w:p w14:paraId="0D110A49" w14:textId="77777777" w:rsidR="00A75C8E" w:rsidRDefault="004C556B">
      <w:pPr>
        <w:pStyle w:val="FootnoteText"/>
      </w:pPr>
      <w:r w:rsidRPr="00711863">
        <w:rPr>
          <w:rStyle w:val="FootnoteCharacters"/>
        </w:rPr>
        <w:footnoteRef/>
      </w:r>
      <w:r>
        <w:t xml:space="preserve"> Feist </w:t>
      </w:r>
      <w:proofErr w:type="spellStart"/>
      <w:r>
        <w:t>Publ’ns</w:t>
      </w:r>
      <w:proofErr w:type="spellEnd"/>
      <w:r>
        <w:t>, Inc. v. Rural Tel. Serv. Co., 499 U.S. 340, 345–48 (1991) (requiring independent creation and a modicum of creativity).</w:t>
      </w:r>
    </w:p>
  </w:footnote>
  <w:footnote w:id="153">
    <w:p w14:paraId="61C43A9B" w14:textId="633AA02C" w:rsidR="00A75C8E" w:rsidRDefault="004C556B">
      <w:pPr>
        <w:pStyle w:val="FootnoteText"/>
      </w:pPr>
      <w:r w:rsidRPr="00711863">
        <w:rPr>
          <w:rStyle w:val="FootnoteCharacters"/>
        </w:rPr>
        <w:footnoteRef/>
      </w:r>
      <w:r>
        <w:t xml:space="preserve"> Copyright Registration Guidance, </w:t>
      </w:r>
      <w:r>
        <w:rPr>
          <w:i/>
          <w:iCs/>
        </w:rPr>
        <w:t>supra</w:t>
      </w:r>
      <w:r>
        <w:t xml:space="preserve"> note 1, at 16,191 (stating that the term “author,” as used in both the U.S. Constitution and in the Copyright Act, excludes non-humans).</w:t>
      </w:r>
    </w:p>
  </w:footnote>
  <w:footnote w:id="154">
    <w:p w14:paraId="40092CF7" w14:textId="77777777" w:rsidR="00A75C8E" w:rsidRDefault="004C556B">
      <w:pPr>
        <w:pStyle w:val="FootnoteText"/>
      </w:pPr>
      <w:r w:rsidRPr="00711863">
        <w:rPr>
          <w:rStyle w:val="FootnoteCharacters"/>
        </w:rPr>
        <w:footnoteRef/>
      </w:r>
      <w:r>
        <w:t xml:space="preserve"> Burrow-Giles Lithographic Co. v. </w:t>
      </w:r>
      <w:proofErr w:type="spellStart"/>
      <w:r>
        <w:t>Sarony</w:t>
      </w:r>
      <w:proofErr w:type="spellEnd"/>
      <w:r>
        <w:t>, 111 U.S. 53, 58–60 (1884) (recognizing authorship where a photographer exercised creative control over the composition).</w:t>
      </w:r>
    </w:p>
  </w:footnote>
  <w:footnote w:id="155">
    <w:p w14:paraId="3B0EE5B5" w14:textId="77777777" w:rsidR="00A75C8E" w:rsidRDefault="004C556B">
      <w:pPr>
        <w:pStyle w:val="FootnoteText"/>
      </w:pPr>
      <w:r w:rsidRPr="00711863">
        <w:rPr>
          <w:rStyle w:val="FootnoteCharacters"/>
        </w:rPr>
        <w:footnoteRef/>
      </w:r>
      <w:r>
        <w:t xml:space="preserve"> </w:t>
      </w:r>
      <w:r>
        <w:rPr>
          <w:i/>
          <w:iCs/>
        </w:rPr>
        <w:t>Id</w:t>
      </w:r>
      <w:r>
        <w:rPr>
          <w:i/>
        </w:rPr>
        <w:t>.</w:t>
      </w:r>
    </w:p>
  </w:footnote>
  <w:footnote w:id="156">
    <w:p w14:paraId="458F32C3" w14:textId="77777777" w:rsidR="00A75C8E" w:rsidRDefault="004C556B">
      <w:pPr>
        <w:pStyle w:val="FootnoteText"/>
      </w:pPr>
      <w:r w:rsidRPr="00711863">
        <w:rPr>
          <w:rStyle w:val="FootnoteCharacters"/>
        </w:rPr>
        <w:footnoteRef/>
      </w:r>
      <w:r>
        <w:t xml:space="preserve"> </w:t>
      </w:r>
      <w:bookmarkStart w:id="46" w:name="_Hlk218946598_Copy_1"/>
      <w:bookmarkStart w:id="47" w:name="_Hlk218946598"/>
      <w:r>
        <w:rPr>
          <w:i/>
        </w:rPr>
        <w:t xml:space="preserve">See </w:t>
      </w:r>
      <w:bookmarkEnd w:id="46"/>
      <w:bookmarkEnd w:id="47"/>
      <w:r>
        <w:rPr>
          <w:i/>
        </w:rPr>
        <w:t>supra</w:t>
      </w:r>
      <w:r>
        <w:t xml:space="preserve"> note 40.</w:t>
      </w:r>
    </w:p>
  </w:footnote>
  <w:footnote w:id="157">
    <w:p w14:paraId="219B2CCC" w14:textId="77777777" w:rsidR="00A75C8E" w:rsidRDefault="004C556B">
      <w:pPr>
        <w:pStyle w:val="FootnoteText"/>
      </w:pPr>
      <w:r w:rsidRPr="00711863">
        <w:rPr>
          <w:rStyle w:val="FootnoteCharacters"/>
        </w:rPr>
        <w:footnoteRef/>
      </w:r>
      <w:r>
        <w:t xml:space="preserve"> </w:t>
      </w:r>
      <w:r>
        <w:rPr>
          <w:i/>
          <w:iCs/>
        </w:rPr>
        <w:t>See</w:t>
      </w:r>
      <w:r>
        <w:t xml:space="preserve"> Nichols v. Universal Pictures Corp., 45 F.2d 119, 121–23 (2d Cir. 1930) (discussing the idea-expression boundary and the “substantial similarity” standard in a case where the author of a play called “Abie’s Irish Rose” sued the producer of an allegedly infringing motion picture called “The Cohens and the Kellys”). This case foreshadows the issues discussed above regarding </w:t>
      </w:r>
      <w:r>
        <w:rPr>
          <w:i/>
          <w:iCs/>
        </w:rPr>
        <w:t>Harry Potter</w:t>
      </w:r>
      <w:r>
        <w:t xml:space="preserve">, the Pac-Man case, and the Marvin Gaye cases. </w:t>
      </w:r>
      <w:r>
        <w:rPr>
          <w:i/>
          <w:iCs/>
        </w:rPr>
        <w:t xml:space="preserve">See </w:t>
      </w:r>
      <w:proofErr w:type="gramStart"/>
      <w:r>
        <w:rPr>
          <w:i/>
          <w:iCs/>
        </w:rPr>
        <w:t>supra</w:t>
      </w:r>
      <w:r>
        <w:t xml:space="preserve"> Sections</w:t>
      </w:r>
      <w:proofErr w:type="gramEnd"/>
      <w:r>
        <w:t xml:space="preserve"> 2.3, 5.1, and 5.2, respectively.</w:t>
      </w:r>
    </w:p>
  </w:footnote>
  <w:footnote w:id="158">
    <w:p w14:paraId="59124C4C" w14:textId="77777777" w:rsidR="00A75C8E" w:rsidRDefault="004C556B">
      <w:pPr>
        <w:pStyle w:val="FootnoteText"/>
      </w:pPr>
      <w:r w:rsidRPr="00711863">
        <w:rPr>
          <w:rStyle w:val="FootnoteCharacters"/>
        </w:rPr>
        <w:footnoteRef/>
      </w:r>
      <w:r>
        <w:t xml:space="preserve"> Atari, Inc. v. N. Am. Philips Consumer Elecs. Corp., 672 F.2d 607, 616–18 (7th Cir. 1982); Williams v. Gaye, 885 F.3d 1150, 1170–76 (9th Cir. 2018); </w:t>
      </w:r>
      <w:r>
        <w:rPr>
          <w:i/>
          <w:iCs/>
        </w:rPr>
        <w:t>see</w:t>
      </w:r>
      <w:r>
        <w:rPr>
          <w:i/>
        </w:rPr>
        <w:t xml:space="preserve"> </w:t>
      </w:r>
      <w:proofErr w:type="gramStart"/>
      <w:r>
        <w:rPr>
          <w:i/>
          <w:iCs/>
        </w:rPr>
        <w:t>supra</w:t>
      </w:r>
      <w:r>
        <w:t xml:space="preserve"> Part</w:t>
      </w:r>
      <w:proofErr w:type="gramEnd"/>
      <w:r>
        <w:t xml:space="preserve"> 5 (discussing substantial-similarity and “look and feel” analysis).</w:t>
      </w:r>
    </w:p>
  </w:footnote>
  <w:footnote w:id="159">
    <w:p w14:paraId="2E05F6AC" w14:textId="77777777" w:rsidR="00A75C8E" w:rsidRDefault="004C556B">
      <w:pPr>
        <w:pStyle w:val="FootnoteText"/>
      </w:pPr>
      <w:r w:rsidRPr="00711863">
        <w:rPr>
          <w:rStyle w:val="FootnoteCharacters"/>
        </w:rPr>
        <w:footnoteRef/>
      </w:r>
      <w:r>
        <w:t xml:space="preserve"> </w:t>
      </w:r>
      <w:r>
        <w:rPr>
          <w:i/>
          <w:iCs/>
        </w:rPr>
        <w:t>See</w:t>
      </w:r>
      <w:r>
        <w:t xml:space="preserve"> Sega Enters. Ltd. v. Accolade, Inc., 977 F.2d 1510, 1520 (9th Cir. 1992) (holding that reverse engineering object code was fair use); Sony </w:t>
      </w:r>
      <w:proofErr w:type="spellStart"/>
      <w:r>
        <w:t>Comput</w:t>
      </w:r>
      <w:proofErr w:type="spellEnd"/>
      <w:r>
        <w:t xml:space="preserve">. Ent., Inc. v. Connectix Corp., 203 F.3d 596, 599 (9th Cir. 2000) (holding that reverse engineering object code was fair use). For an excellent history of the early computer cases, </w:t>
      </w:r>
      <w:r>
        <w:rPr>
          <w:i/>
          <w:iCs/>
        </w:rPr>
        <w:t>see</w:t>
      </w:r>
      <w:r>
        <w:t xml:space="preserve"> Mark A. Lemley &amp; Pamela Samuelson, </w:t>
      </w:r>
      <w:r>
        <w:rPr>
          <w:i/>
          <w:iCs/>
        </w:rPr>
        <w:t xml:space="preserve">Interfaces and Interoperability After </w:t>
      </w:r>
      <w:r>
        <w:t xml:space="preserve">Google v. Oracle, 100 </w:t>
      </w:r>
      <w:r>
        <w:rPr>
          <w:smallCaps/>
        </w:rPr>
        <w:t>Tex. L. Rev.</w:t>
      </w:r>
      <w:r>
        <w:t xml:space="preserve"> 1, 6–32 (2021).</w:t>
      </w:r>
    </w:p>
  </w:footnote>
  <w:footnote w:id="160">
    <w:p w14:paraId="35D4F003" w14:textId="77777777" w:rsidR="00A75C8E" w:rsidRDefault="004C556B">
      <w:pPr>
        <w:pStyle w:val="FootnoteText"/>
      </w:pPr>
      <w:r w:rsidRPr="00711863">
        <w:rPr>
          <w:rStyle w:val="FootnoteCharacters"/>
        </w:rPr>
        <w:footnoteRef/>
      </w:r>
      <w:r>
        <w:t xml:space="preserve"> </w:t>
      </w:r>
      <w:r>
        <w:rPr>
          <w:i/>
          <w:iCs/>
        </w:rPr>
        <w:t>See</w:t>
      </w:r>
      <w:r>
        <w:t xml:space="preserve"> Apple </w:t>
      </w:r>
      <w:proofErr w:type="spellStart"/>
      <w:r>
        <w:t>Comput</w:t>
      </w:r>
      <w:proofErr w:type="spellEnd"/>
      <w:r>
        <w:t xml:space="preserve">., Inc. v. Microsoft Corp., 35 F.3d 1435, 1443 (9th Cir. 1994) (“It is not easy to distinguish expression from ideas, particularly in a new medium. However, it must be done </w:t>
      </w:r>
      <w:proofErr w:type="gramStart"/>
      <w:r>
        <w:t>. . . .</w:t>
      </w:r>
      <w:proofErr w:type="gramEnd"/>
      <w:r>
        <w:t xml:space="preserve"> Apple cannot get patent-like protection for the idea of a graphical user interface.”). For an excellent discussion of software interfaces and interoperability after </w:t>
      </w:r>
      <w:r>
        <w:rPr>
          <w:i/>
          <w:iCs/>
        </w:rPr>
        <w:t>Google v. Oracle</w:t>
      </w:r>
      <w:r>
        <w:t xml:space="preserve">, </w:t>
      </w:r>
      <w:r>
        <w:rPr>
          <w:i/>
          <w:iCs/>
        </w:rPr>
        <w:t>see</w:t>
      </w:r>
      <w:r>
        <w:t xml:space="preserve"> Lemley &amp; Samuelson, </w:t>
      </w:r>
      <w:r>
        <w:rPr>
          <w:i/>
          <w:iCs/>
        </w:rPr>
        <w:t>supra</w:t>
      </w:r>
      <w:r>
        <w:t xml:space="preserve"> note 158, at 32–39.</w:t>
      </w:r>
    </w:p>
  </w:footnote>
  <w:footnote w:id="161">
    <w:p w14:paraId="45088087" w14:textId="77777777" w:rsidR="00A75C8E" w:rsidRDefault="004C556B">
      <w:pPr>
        <w:pStyle w:val="FootnoteText"/>
      </w:pPr>
      <w:r w:rsidRPr="00711863">
        <w:rPr>
          <w:rStyle w:val="FootnoteCharacters"/>
        </w:rPr>
        <w:footnoteRef/>
      </w:r>
      <w:r>
        <w:t xml:space="preserve"> </w:t>
      </w:r>
      <w:r>
        <w:rPr>
          <w:i/>
          <w:iCs/>
        </w:rPr>
        <w:t>See</w:t>
      </w:r>
      <w:r>
        <w:t xml:space="preserve"> Structured Asset Sales, LLC v. Sheeran, 673 F. Supp. 3d 415, 424 (S.D.N.Y. 2023) (granting summary judgment for defendant on reconsideration by distinguishing between idea and expression), </w:t>
      </w:r>
      <w:r>
        <w:rPr>
          <w:i/>
          <w:iCs/>
        </w:rPr>
        <w:t>aff’d</w:t>
      </w:r>
      <w:r>
        <w:t>, 120 F.4th 1066 (2d Cir. 2024).</w:t>
      </w:r>
    </w:p>
  </w:footnote>
  <w:footnote w:id="162">
    <w:p w14:paraId="723781EC" w14:textId="77777777" w:rsidR="00A75C8E" w:rsidRDefault="004C556B">
      <w:pPr>
        <w:pStyle w:val="FootnoteText"/>
      </w:pPr>
      <w:r w:rsidRPr="00711863">
        <w:rPr>
          <w:rStyle w:val="FootnoteCharacters"/>
        </w:rPr>
        <w:footnoteRef/>
      </w:r>
      <w:r>
        <w:t xml:space="preserve"> A. Feder Cooper &amp; James Grimmelmann, </w:t>
      </w:r>
      <w:r>
        <w:rPr>
          <w:i/>
          <w:iCs/>
        </w:rPr>
        <w:t>The Files Are in the Computer: On Copyright, Memorization, and Generative AI</w:t>
      </w:r>
      <w:r>
        <w:t xml:space="preserve">, 100 </w:t>
      </w:r>
      <w:r>
        <w:rPr>
          <w:smallCaps/>
        </w:rPr>
        <w:t>Chi.-Kent L. Rev.</w:t>
      </w:r>
      <w:r>
        <w:t xml:space="preserve"> 141, 159 (2025); </w:t>
      </w:r>
      <w:r>
        <w:rPr>
          <w:i/>
          <w:iCs/>
        </w:rPr>
        <w:t>see</w:t>
      </w:r>
      <w:r>
        <w:t xml:space="preserve"> </w:t>
      </w:r>
      <w:r>
        <w:rPr>
          <w:smallCaps/>
        </w:rPr>
        <w:t>Copyright Office: Part 3</w:t>
      </w:r>
      <w:r>
        <w:t xml:space="preserve">, </w:t>
      </w:r>
      <w:r>
        <w:rPr>
          <w:i/>
          <w:iCs/>
        </w:rPr>
        <w:t>supra</w:t>
      </w:r>
      <w:r>
        <w:t xml:space="preserve"> note 1, at 19–21 (discussing memorization).</w:t>
      </w:r>
    </w:p>
  </w:footnote>
  <w:footnote w:id="163">
    <w:p w14:paraId="5680347E" w14:textId="77777777" w:rsidR="00A75C8E" w:rsidRDefault="004C556B">
      <w:pPr>
        <w:pStyle w:val="FootnoteText"/>
      </w:pPr>
      <w:r w:rsidRPr="00711863">
        <w:rPr>
          <w:rStyle w:val="FootnoteCharacters"/>
        </w:rPr>
        <w:footnoteRef/>
      </w:r>
      <w:r>
        <w:t xml:space="preserve"> </w:t>
      </w:r>
      <w:r>
        <w:rPr>
          <w:i/>
          <w:iCs/>
        </w:rPr>
        <w:t>Id</w:t>
      </w:r>
      <w:r>
        <w:rPr>
          <w:i/>
        </w:rPr>
        <w:t>.</w:t>
      </w:r>
    </w:p>
  </w:footnote>
  <w:footnote w:id="164">
    <w:p w14:paraId="0F6AA60F" w14:textId="77777777" w:rsidR="00A75C8E" w:rsidRDefault="004C556B">
      <w:pPr>
        <w:pStyle w:val="FootnoteText"/>
      </w:pPr>
      <w:r w:rsidRPr="00711863">
        <w:rPr>
          <w:rStyle w:val="FootnoteCharacters"/>
        </w:rPr>
        <w:footnoteRef/>
      </w:r>
      <w:r>
        <w:t xml:space="preserve"> Matthew Sag, </w:t>
      </w:r>
      <w:r>
        <w:rPr>
          <w:i/>
          <w:iCs/>
        </w:rPr>
        <w:t>Copyright Safety for Generative AI</w:t>
      </w:r>
      <w:r>
        <w:t xml:space="preserve">, 61 </w:t>
      </w:r>
      <w:proofErr w:type="spellStart"/>
      <w:r>
        <w:rPr>
          <w:smallCaps/>
        </w:rPr>
        <w:t>Hous</w:t>
      </w:r>
      <w:proofErr w:type="spellEnd"/>
      <w:r>
        <w:rPr>
          <w:smallCaps/>
        </w:rPr>
        <w:t>. L. Rev.</w:t>
      </w:r>
      <w:r>
        <w:t xml:space="preserve"> 295, 343 (2023).</w:t>
      </w:r>
    </w:p>
  </w:footnote>
  <w:footnote w:id="165">
    <w:p w14:paraId="09715097" w14:textId="77777777" w:rsidR="00A75C8E" w:rsidRDefault="004C556B">
      <w:pPr>
        <w:pStyle w:val="FootnoteText"/>
      </w:pPr>
      <w:r w:rsidRPr="00711863">
        <w:rPr>
          <w:rStyle w:val="FootnoteCharacters"/>
        </w:rPr>
        <w:footnoteRef/>
      </w:r>
      <w:r>
        <w:t xml:space="preserve"> A. Feder Cooper et al., </w:t>
      </w:r>
      <w:r>
        <w:rPr>
          <w:i/>
          <w:iCs/>
        </w:rPr>
        <w:t>Machine Unlearning Doesn’t Do What You Think: Lessons for AI Policy, Research, and Practice</w:t>
      </w:r>
      <w:r>
        <w:t xml:space="preserve"> (2024) (unpublished manuscript), https://arxiv.org/abs/2412.06966. It is interesting that some of the motivation to develop machine unlearning was to satisfy the Article 17 “right to erase” and “right to forget” requirements under the European Union’s General Data Protection Regulation, Regulation (EU) 2016/679, 2016 O.J. (L 119) 1; </w:t>
      </w:r>
      <w:r>
        <w:rPr>
          <w:i/>
          <w:iCs/>
        </w:rPr>
        <w:t>id</w:t>
      </w:r>
      <w:r>
        <w:rPr>
          <w:i/>
        </w:rPr>
        <w:t>.</w:t>
      </w:r>
      <w:r>
        <w:t xml:space="preserve"> at 3.</w:t>
      </w:r>
    </w:p>
  </w:footnote>
  <w:footnote w:id="166">
    <w:p w14:paraId="5B2D5ABD" w14:textId="77777777" w:rsidR="00A75C8E" w:rsidRDefault="004C556B">
      <w:pPr>
        <w:pStyle w:val="FootnoteText"/>
      </w:pPr>
      <w:r w:rsidRPr="00711863">
        <w:rPr>
          <w:rStyle w:val="FootnoteCharacters"/>
        </w:rPr>
        <w:footnoteRef/>
      </w:r>
      <w:r>
        <w:t xml:space="preserve"> </w:t>
      </w:r>
      <w:r>
        <w:rPr>
          <w:i/>
          <w:iCs/>
        </w:rPr>
        <w:t>Id</w:t>
      </w:r>
      <w:r>
        <w:rPr>
          <w:i/>
        </w:rPr>
        <w:t>.</w:t>
      </w:r>
      <w:r>
        <w:t xml:space="preserve"> at 8–9.</w:t>
      </w:r>
    </w:p>
  </w:footnote>
  <w:footnote w:id="167">
    <w:p w14:paraId="75FEF31A" w14:textId="77777777" w:rsidR="00A75C8E" w:rsidRDefault="004C556B">
      <w:pPr>
        <w:pStyle w:val="FootnoteText"/>
      </w:pPr>
      <w:r w:rsidRPr="00711863">
        <w:rPr>
          <w:rStyle w:val="FootnoteCharacters"/>
        </w:rPr>
        <w:footnoteRef/>
      </w:r>
      <w:r>
        <w:t xml:space="preserve"> </w:t>
      </w:r>
      <w:r>
        <w:rPr>
          <w:i/>
          <w:iCs/>
        </w:rPr>
        <w:t>Id</w:t>
      </w:r>
      <w:r>
        <w:rPr>
          <w:i/>
        </w:rPr>
        <w:t>.</w:t>
      </w:r>
      <w:r>
        <w:t xml:space="preserve"> at 9.</w:t>
      </w:r>
    </w:p>
  </w:footnote>
  <w:footnote w:id="168">
    <w:p w14:paraId="50C1229B" w14:textId="77777777" w:rsidR="00A75C8E" w:rsidRDefault="004C556B">
      <w:pPr>
        <w:pStyle w:val="FootnoteText"/>
      </w:pPr>
      <w:r w:rsidRPr="00711863">
        <w:rPr>
          <w:rStyle w:val="FootnoteCharacters"/>
        </w:rPr>
        <w:footnoteRef/>
      </w:r>
      <w:r>
        <w:t xml:space="preserve"> </w:t>
      </w:r>
      <w:r>
        <w:rPr>
          <w:i/>
          <w:iCs/>
        </w:rPr>
        <w:t>Id</w:t>
      </w:r>
      <w:r>
        <w:rPr>
          <w:i/>
        </w:rPr>
        <w:t>.</w:t>
      </w:r>
    </w:p>
  </w:footnote>
  <w:footnote w:id="169">
    <w:p w14:paraId="1C597F62" w14:textId="77777777" w:rsidR="00A75C8E" w:rsidRDefault="004C556B">
      <w:pPr>
        <w:pStyle w:val="FootnoteText"/>
      </w:pPr>
      <w:r w:rsidRPr="00711863">
        <w:rPr>
          <w:rStyle w:val="FootnoteCharacters"/>
        </w:rPr>
        <w:footnoteRef/>
      </w:r>
      <w:r>
        <w:t xml:space="preserve"> 17 U.S.C. § 1201 et seq.</w:t>
      </w:r>
    </w:p>
  </w:footnote>
  <w:footnote w:id="170">
    <w:p w14:paraId="30789BBC" w14:textId="77777777" w:rsidR="00A75C8E" w:rsidRDefault="004C556B">
      <w:pPr>
        <w:pStyle w:val="FootnoteText"/>
      </w:pPr>
      <w:r w:rsidRPr="00711863">
        <w:rPr>
          <w:rStyle w:val="FootnoteCharacters"/>
        </w:rPr>
        <w:footnoteRef/>
      </w:r>
      <w:r>
        <w:t xml:space="preserve"> 17 U.S.C. § 1201. The DMCA claims, while largely being used to avoid the substantive copyright and fair use issues, may become part of the fair use analysis. As Matthew Sag states: “The unfairness of systematic indirect expressive substitution seems particularly pronounced if that extraction is done by breaching paywalls or disregarding bot exclusion headers. It seems plausible that a court might extend the fourth factor to consider whether, in scraping material from the internet, the defendant ignored robot.txt files that indicated a desire to opt out of search engine indexing and similar activities.” Sag, </w:t>
      </w:r>
      <w:r>
        <w:rPr>
          <w:i/>
          <w:iCs/>
        </w:rPr>
        <w:t>supra</w:t>
      </w:r>
      <w:r>
        <w:t xml:space="preserve"> note 128, </w:t>
      </w:r>
      <w:proofErr w:type="gramStart"/>
      <w:r>
        <w:t>at</w:t>
      </w:r>
      <w:proofErr w:type="gramEnd"/>
      <w:r>
        <w:t xml:space="preserve"> 1920. Sag also observes that a defendant’s attempts at fairness may also help its argument for fair use: in “</w:t>
      </w:r>
      <w:r>
        <w:rPr>
          <w:i/>
          <w:iCs/>
        </w:rPr>
        <w:t>Google Books</w:t>
      </w:r>
      <w:r>
        <w:t xml:space="preserve">, the defendant’s fair use defense was bolstered by its robust security measures </w:t>
      </w:r>
      <w:proofErr w:type="gramStart"/>
      <w:r>
        <w:t>. . . .</w:t>
      </w:r>
      <w:proofErr w:type="gramEnd"/>
      <w:r>
        <w:t xml:space="preserve">” </w:t>
      </w:r>
      <w:r>
        <w:rPr>
          <w:i/>
          <w:iCs/>
        </w:rPr>
        <w:t>Id</w:t>
      </w:r>
      <w:r>
        <w:rPr>
          <w:i/>
        </w:rPr>
        <w:t>.</w:t>
      </w:r>
    </w:p>
  </w:footnote>
  <w:footnote w:id="171">
    <w:p w14:paraId="1DFB3991" w14:textId="77777777" w:rsidR="00A75C8E" w:rsidRDefault="004C556B">
      <w:pPr>
        <w:pStyle w:val="FootnoteText"/>
      </w:pPr>
      <w:r w:rsidRPr="00711863">
        <w:rPr>
          <w:rStyle w:val="FootnoteCharacters"/>
        </w:rPr>
        <w:footnoteRef/>
      </w:r>
      <w:r>
        <w:t xml:space="preserve"> </w:t>
      </w:r>
      <w:r>
        <w:rPr>
          <w:i/>
          <w:iCs/>
        </w:rPr>
        <w:t>See</w:t>
      </w:r>
      <w:r>
        <w:t xml:space="preserve"> </w:t>
      </w:r>
      <w:r>
        <w:rPr>
          <w:smallCaps/>
        </w:rPr>
        <w:t>Copyright Office: Part 2</w:t>
      </w:r>
      <w:r>
        <w:t xml:space="preserve">, </w:t>
      </w:r>
      <w:r>
        <w:rPr>
          <w:i/>
        </w:rPr>
        <w:t>supra</w:t>
      </w:r>
      <w:r>
        <w:t xml:space="preserve"> note 1, at 13–16 (discussing the acquisition and curation of training data); </w:t>
      </w:r>
      <w:r>
        <w:rPr>
          <w:i/>
          <w:iCs/>
        </w:rPr>
        <w:t>see</w:t>
      </w:r>
      <w:r>
        <w:rPr>
          <w:i/>
        </w:rPr>
        <w:t xml:space="preserve"> </w:t>
      </w:r>
      <w:r>
        <w:rPr>
          <w:i/>
          <w:iCs/>
        </w:rPr>
        <w:t>also</w:t>
      </w:r>
      <w:r>
        <w:t xml:space="preserve"> </w:t>
      </w:r>
      <w:proofErr w:type="spellStart"/>
      <w:r>
        <w:rPr>
          <w:smallCaps/>
        </w:rPr>
        <w:t>Nat’l</w:t>
      </w:r>
      <w:proofErr w:type="spellEnd"/>
      <w:r>
        <w:rPr>
          <w:smallCaps/>
        </w:rPr>
        <w:t xml:space="preserve"> Inst. of Standards &amp; Tech.</w:t>
      </w:r>
      <w:r>
        <w:t xml:space="preserve">, </w:t>
      </w:r>
      <w:r>
        <w:rPr>
          <w:smallCaps/>
        </w:rPr>
        <w:t>Artificial Intelligence Risk Management Framework (AI RMF 1.0)</w:t>
      </w:r>
      <w:r>
        <w:t>, at 16 (2023) (“Maintaining the provenance of training data and supporting attribution of the AI system’s decisions to subsets of training data can assist with both transparency and accountability. Training data may also be subject to copyright and should follow applicable intellectual property rights laws.”).</w:t>
      </w:r>
    </w:p>
  </w:footnote>
  <w:footnote w:id="172">
    <w:p w14:paraId="49DC20FA" w14:textId="77777777" w:rsidR="00A75C8E" w:rsidRDefault="004C556B">
      <w:pPr>
        <w:pStyle w:val="FootnoteText"/>
      </w:pPr>
      <w:r w:rsidRPr="00711863">
        <w:rPr>
          <w:rStyle w:val="FootnoteCharacters"/>
        </w:rPr>
        <w:footnoteRef/>
      </w:r>
      <w:r>
        <w:t xml:space="preserve"> 17 U.S.C. §§ 1201(a)(1)(A), 1202(a)–(b); </w:t>
      </w:r>
      <w:r>
        <w:rPr>
          <w:i/>
          <w:iCs/>
        </w:rPr>
        <w:t>id.</w:t>
      </w:r>
      <w:r>
        <w:t xml:space="preserve"> § 1202(c) (defining “copyright management information”).</w:t>
      </w:r>
    </w:p>
  </w:footnote>
  <w:footnote w:id="173">
    <w:p w14:paraId="1CEA0498" w14:textId="77777777" w:rsidR="00A75C8E" w:rsidRDefault="004C556B">
      <w:pPr>
        <w:pStyle w:val="FootnoteText"/>
      </w:pPr>
      <w:r w:rsidRPr="00711863">
        <w:rPr>
          <w:rStyle w:val="FootnoteCharacters"/>
        </w:rPr>
        <w:footnoteRef/>
      </w:r>
      <w:r>
        <w:t xml:space="preserve"> 17 U.S.C. § 1201(a)(1)(A) (“No person shall circumvent a technological measure that effectively controls access to a work protected under this title.”).</w:t>
      </w:r>
    </w:p>
  </w:footnote>
  <w:footnote w:id="174">
    <w:p w14:paraId="58BEF2AA" w14:textId="77777777" w:rsidR="00A75C8E" w:rsidRDefault="004C556B">
      <w:pPr>
        <w:pStyle w:val="FootnoteText"/>
      </w:pPr>
      <w:r w:rsidRPr="00711863">
        <w:rPr>
          <w:rStyle w:val="FootnoteCharacters"/>
        </w:rPr>
        <w:footnoteRef/>
      </w:r>
      <w:r>
        <w:t xml:space="preserve"> 17 U.S.C. § 1202(a)–(b) (“(a) False Copyright Management </w:t>
      </w:r>
      <w:proofErr w:type="gramStart"/>
      <w:r>
        <w:t>Information.—</w:t>
      </w:r>
      <w:proofErr w:type="gramEnd"/>
      <w:r>
        <w:t>No person shall knowingly and with the intent to induce, enable, facilitate, or conceal infringement</w:t>
      </w:r>
      <w:proofErr w:type="gramStart"/>
      <w:r>
        <w:t>—(</w:t>
      </w:r>
      <w:proofErr w:type="gramEnd"/>
      <w:r>
        <w:t>1) provide copyright management information that is false, or (2) distribute or import for distribution copyright management information that is false. (b) Removal or Alteration of Copyright Management Information.—No person shall, without the authority of the copyright owner or the law</w:t>
      </w:r>
      <w:bookmarkStart w:id="51" w:name="_Hlk220175812_Copy_1"/>
      <w:bookmarkStart w:id="52" w:name="_Hlk220175812"/>
      <w:r>
        <w:t>—(1) intentionally remove or alter any copyright management information, (2) distribute or import for distribution copyright management information knowing that the copyright management information has been removed or altered without authority of the copyright owner or the law, or (3) distribute, import for distribution, or publicly perform works, copies of works, or phonorecords, knowing that copyright management information has been removed or altered without authority of the copyright owner or the law, knowing, or, with respect to civil remedies under section 1203, having reasonable grounds to know, that it will induce, enable, facilitate, or conceal an infringement of any right under this title</w:t>
      </w:r>
      <w:bookmarkEnd w:id="51"/>
      <w:bookmarkEnd w:id="52"/>
      <w:r>
        <w:t xml:space="preserve">.”); </w:t>
      </w:r>
      <w:r>
        <w:rPr>
          <w:i/>
          <w:iCs/>
        </w:rPr>
        <w:t>id.</w:t>
      </w:r>
      <w:r>
        <w:t xml:space="preserve"> § 1202(c) (defining “copyright management information”).</w:t>
      </w:r>
    </w:p>
  </w:footnote>
  <w:footnote w:id="175">
    <w:p w14:paraId="30704D7C" w14:textId="77777777" w:rsidR="00A75C8E" w:rsidRDefault="004C556B">
      <w:pPr>
        <w:pStyle w:val="FootnoteText"/>
      </w:pPr>
      <w:r w:rsidRPr="00711863">
        <w:rPr>
          <w:rStyle w:val="FootnoteCharacters"/>
        </w:rPr>
        <w:footnoteRef/>
      </w:r>
      <w:r>
        <w:t xml:space="preserve"> </w:t>
      </w:r>
      <w:r>
        <w:rPr>
          <w:i/>
          <w:iCs/>
        </w:rPr>
        <w:t>See</w:t>
      </w:r>
      <w:r>
        <w:t xml:space="preserve"> </w:t>
      </w:r>
      <w:r>
        <w:rPr>
          <w:smallCaps/>
        </w:rPr>
        <w:t>Copyright Office: Part 3</w:t>
      </w:r>
      <w:r>
        <w:t xml:space="preserve">, </w:t>
      </w:r>
      <w:r>
        <w:rPr>
          <w:i/>
          <w:iCs/>
        </w:rPr>
        <w:t>supra</w:t>
      </w:r>
      <w:r>
        <w:t xml:space="preserve"> note 1, at 85–106 (discussing licensing). Another area of the law that already has been pleaded in some of these cases has to do with violation of service terms agreements and other contractual issues. While these are not unimportant, they go too far beyond the scope of this paper to be addressed herein.</w:t>
      </w:r>
    </w:p>
  </w:footnote>
  <w:footnote w:id="176">
    <w:p w14:paraId="5F594CD6" w14:textId="77777777" w:rsidR="00A75C8E" w:rsidRDefault="004C556B">
      <w:pPr>
        <w:pStyle w:val="FootnoteText"/>
      </w:pPr>
      <w:r w:rsidRPr="00711863">
        <w:rPr>
          <w:rStyle w:val="FootnoteCharacters"/>
        </w:rPr>
        <w:footnoteRef/>
      </w:r>
      <w:r>
        <w:t xml:space="preserve"> For a very detailed overview of all aspects of AI copyright legislation, both generative AI and non-generative, </w:t>
      </w:r>
      <w:r>
        <w:rPr>
          <w:i/>
          <w:iCs/>
        </w:rPr>
        <w:t>see</w:t>
      </w:r>
      <w:r>
        <w:t xml:space="preserve"> Lily Argyle et al., Collaborative Student Work, </w:t>
      </w:r>
      <w:r>
        <w:rPr>
          <w:i/>
          <w:iCs/>
        </w:rPr>
        <w:t>AI Copyright Litigation v. Licensing: An Exploration</w:t>
      </w:r>
      <w:r>
        <w:t xml:space="preserve">, 72 </w:t>
      </w:r>
      <w:r>
        <w:rPr>
          <w:smallCaps/>
        </w:rPr>
        <w:t>J. Copyright Soc’y</w:t>
      </w:r>
      <w:r>
        <w:t xml:space="preserve"> 410 (2025).</w:t>
      </w:r>
    </w:p>
  </w:footnote>
  <w:footnote w:id="177">
    <w:p w14:paraId="7FE58FD2" w14:textId="77777777" w:rsidR="00A75C8E" w:rsidRDefault="004C556B">
      <w:pPr>
        <w:pStyle w:val="FootnoteText"/>
      </w:pPr>
      <w:r w:rsidRPr="00711863">
        <w:rPr>
          <w:rStyle w:val="FootnoteCharacters"/>
        </w:rPr>
        <w:footnoteRef/>
      </w:r>
      <w:r>
        <w:t xml:space="preserve"> </w:t>
      </w:r>
      <w:proofErr w:type="spellStart"/>
      <w:r>
        <w:rPr>
          <w:i/>
          <w:iCs/>
        </w:rPr>
        <w:t>HathiTrust</w:t>
      </w:r>
      <w:proofErr w:type="spellEnd"/>
      <w:r>
        <w:t>, 755 F.3d 87 (2d Cir. 2014).</w:t>
      </w:r>
    </w:p>
  </w:footnote>
  <w:footnote w:id="178">
    <w:p w14:paraId="24CB6294" w14:textId="77777777" w:rsidR="00A75C8E" w:rsidRDefault="004C556B">
      <w:pPr>
        <w:pStyle w:val="FootnoteText"/>
      </w:pPr>
      <w:r w:rsidRPr="00711863">
        <w:rPr>
          <w:rStyle w:val="FootnoteCharacters"/>
        </w:rPr>
        <w:footnoteRef/>
      </w:r>
      <w:r>
        <w:t xml:space="preserve"> </w:t>
      </w:r>
      <w:r>
        <w:rPr>
          <w:i/>
          <w:iCs/>
        </w:rPr>
        <w:t>Id.</w:t>
      </w:r>
      <w:r>
        <w:t xml:space="preserve"> at 97–101.</w:t>
      </w:r>
    </w:p>
  </w:footnote>
  <w:footnote w:id="179">
    <w:p w14:paraId="299181D6" w14:textId="77777777" w:rsidR="00A75C8E" w:rsidRDefault="004C556B">
      <w:pPr>
        <w:pStyle w:val="FootnoteText"/>
      </w:pPr>
      <w:r w:rsidRPr="00711863">
        <w:rPr>
          <w:rStyle w:val="FootnoteCharacters"/>
        </w:rPr>
        <w:footnoteRef/>
      </w:r>
      <w:r>
        <w:t xml:space="preserve"> Campbell v. Acuff-Rose Music, Inc., 510 U.S. 569, 579 (1994).</w:t>
      </w:r>
    </w:p>
  </w:footnote>
  <w:footnote w:id="180">
    <w:p w14:paraId="4E2EBFD0" w14:textId="77777777" w:rsidR="00A75C8E" w:rsidRDefault="004C556B">
      <w:pPr>
        <w:pStyle w:val="FootnoteText"/>
      </w:pPr>
      <w:r w:rsidRPr="00711863">
        <w:rPr>
          <w:rStyle w:val="FootnoteCharacters"/>
        </w:rPr>
        <w:footnoteRef/>
      </w:r>
      <w:r>
        <w:t xml:space="preserve"> </w:t>
      </w:r>
      <w:proofErr w:type="spellStart"/>
      <w:r>
        <w:rPr>
          <w:i/>
          <w:iCs/>
        </w:rPr>
        <w:t>HathiTrust</w:t>
      </w:r>
      <w:proofErr w:type="spellEnd"/>
      <w:r>
        <w:t>, 755 F.3d at 96.</w:t>
      </w:r>
    </w:p>
  </w:footnote>
  <w:footnote w:id="181">
    <w:p w14:paraId="72817CEE" w14:textId="77777777" w:rsidR="00A75C8E" w:rsidRDefault="004C556B">
      <w:pPr>
        <w:pStyle w:val="FootnoteText"/>
      </w:pPr>
      <w:r w:rsidRPr="00711863">
        <w:rPr>
          <w:rStyle w:val="FootnoteCharacters"/>
        </w:rPr>
        <w:footnoteRef/>
      </w:r>
      <w:r>
        <w:t xml:space="preserve"> </w:t>
      </w:r>
      <w:r>
        <w:rPr>
          <w:i/>
          <w:iCs/>
        </w:rPr>
        <w:t>Id.</w:t>
      </w:r>
      <w:r>
        <w:t xml:space="preserve"> at 99.</w:t>
      </w:r>
    </w:p>
  </w:footnote>
  <w:footnote w:id="182">
    <w:p w14:paraId="6CA2A5A7" w14:textId="77777777" w:rsidR="00A75C8E" w:rsidRDefault="004C556B">
      <w:pPr>
        <w:pStyle w:val="FootnoteText"/>
      </w:pPr>
      <w:r w:rsidRPr="00711863">
        <w:rPr>
          <w:rStyle w:val="FootnoteCharacters"/>
        </w:rPr>
        <w:footnoteRef/>
      </w:r>
      <w:r>
        <w:t xml:space="preserve"> Authors Guild v. Google, Inc., 804 F.3d 202 (2d Cir. 2015).</w:t>
      </w:r>
    </w:p>
  </w:footnote>
  <w:footnote w:id="183">
    <w:p w14:paraId="36B9E6CA" w14:textId="77777777" w:rsidR="00A75C8E" w:rsidRDefault="004C556B">
      <w:pPr>
        <w:pStyle w:val="FootnoteText"/>
      </w:pPr>
      <w:r w:rsidRPr="00711863">
        <w:rPr>
          <w:rStyle w:val="FootnoteCharacters"/>
        </w:rPr>
        <w:footnoteRef/>
      </w:r>
      <w:r>
        <w:t xml:space="preserve"> </w:t>
      </w:r>
      <w:r>
        <w:rPr>
          <w:i/>
          <w:iCs/>
        </w:rPr>
        <w:t>Id.</w:t>
      </w:r>
      <w:r>
        <w:t xml:space="preserve"> at 208.</w:t>
      </w:r>
    </w:p>
  </w:footnote>
  <w:footnote w:id="184">
    <w:p w14:paraId="14D7953F" w14:textId="77777777" w:rsidR="00A75C8E" w:rsidRDefault="004C556B">
      <w:pPr>
        <w:pStyle w:val="FootnoteText"/>
      </w:pPr>
      <w:r w:rsidRPr="00711863">
        <w:rPr>
          <w:rStyle w:val="FootnoteCharacters"/>
        </w:rPr>
        <w:footnoteRef/>
      </w:r>
      <w:r>
        <w:t xml:space="preserve"> </w:t>
      </w:r>
      <w:r>
        <w:rPr>
          <w:i/>
          <w:iCs/>
        </w:rPr>
        <w:t>Id.</w:t>
      </w:r>
      <w:r>
        <w:t xml:space="preserve"> at 229.</w:t>
      </w:r>
    </w:p>
  </w:footnote>
  <w:footnote w:id="185">
    <w:p w14:paraId="2D855EC4" w14:textId="77777777" w:rsidR="00A75C8E" w:rsidRDefault="004C556B">
      <w:pPr>
        <w:pStyle w:val="FootnoteText"/>
      </w:pPr>
      <w:r w:rsidRPr="00711863">
        <w:rPr>
          <w:rStyle w:val="FootnoteCharacters"/>
        </w:rPr>
        <w:footnoteRef/>
      </w:r>
      <w:r>
        <w:t xml:space="preserve"> </w:t>
      </w:r>
      <w:r>
        <w:rPr>
          <w:i/>
          <w:iCs/>
        </w:rPr>
        <w:t>Id.</w:t>
      </w:r>
      <w:r>
        <w:t xml:space="preserve"> at 216.</w:t>
      </w:r>
    </w:p>
  </w:footnote>
  <w:footnote w:id="186">
    <w:p w14:paraId="7091469D" w14:textId="77777777" w:rsidR="00A75C8E" w:rsidRDefault="004C556B">
      <w:pPr>
        <w:pStyle w:val="FootnoteText"/>
      </w:pPr>
      <w:r w:rsidRPr="00711863">
        <w:rPr>
          <w:rStyle w:val="FootnoteCharacters"/>
        </w:rPr>
        <w:footnoteRef/>
      </w:r>
      <w:r>
        <w:t xml:space="preserve"> Google LLC v. Oracle Am., Inc., 593 U.S. 1 (2021).</w:t>
      </w:r>
    </w:p>
  </w:footnote>
  <w:footnote w:id="187">
    <w:p w14:paraId="104EE4D5" w14:textId="77777777" w:rsidR="00A75C8E" w:rsidRDefault="004C556B">
      <w:pPr>
        <w:pStyle w:val="FootnoteText"/>
      </w:pPr>
      <w:r w:rsidRPr="00711863">
        <w:rPr>
          <w:rStyle w:val="FootnoteCharacters"/>
        </w:rPr>
        <w:footnoteRef/>
      </w:r>
      <w:r>
        <w:t xml:space="preserve"> </w:t>
      </w:r>
      <w:r>
        <w:rPr>
          <w:i/>
          <w:iCs/>
        </w:rPr>
        <w:t>Id.</w:t>
      </w:r>
      <w:r>
        <w:t xml:space="preserve"> at 11.</w:t>
      </w:r>
    </w:p>
  </w:footnote>
  <w:footnote w:id="188">
    <w:p w14:paraId="3DAD7328" w14:textId="77777777" w:rsidR="00A75C8E" w:rsidRDefault="004C556B">
      <w:pPr>
        <w:pStyle w:val="FootnoteText"/>
      </w:pPr>
      <w:r w:rsidRPr="00711863">
        <w:rPr>
          <w:rStyle w:val="FootnoteCharacters"/>
        </w:rPr>
        <w:footnoteRef/>
      </w:r>
      <w:r>
        <w:t xml:space="preserve"> </w:t>
      </w:r>
      <w:r>
        <w:rPr>
          <w:i/>
          <w:iCs/>
        </w:rPr>
        <w:t>Id</w:t>
      </w:r>
      <w:r>
        <w:rPr>
          <w:i/>
        </w:rPr>
        <w:t>.</w:t>
      </w:r>
    </w:p>
  </w:footnote>
  <w:footnote w:id="189">
    <w:p w14:paraId="42278CB7" w14:textId="77777777" w:rsidR="00A75C8E" w:rsidRDefault="004C556B">
      <w:pPr>
        <w:pStyle w:val="FootnoteText"/>
      </w:pPr>
      <w:r w:rsidRPr="00711863">
        <w:rPr>
          <w:rStyle w:val="FootnoteCharacters"/>
        </w:rPr>
        <w:footnoteRef/>
      </w:r>
      <w:r>
        <w:t xml:space="preserve"> </w:t>
      </w:r>
      <w:r>
        <w:rPr>
          <w:i/>
          <w:iCs/>
        </w:rPr>
        <w:t>Id.</w:t>
      </w:r>
    </w:p>
  </w:footnote>
  <w:footnote w:id="190">
    <w:p w14:paraId="024E1164" w14:textId="77777777" w:rsidR="00A75C8E" w:rsidRDefault="004C556B">
      <w:pPr>
        <w:pStyle w:val="FootnoteText"/>
      </w:pPr>
      <w:r w:rsidRPr="00711863">
        <w:rPr>
          <w:rStyle w:val="FootnoteCharacters"/>
        </w:rPr>
        <w:footnoteRef/>
      </w:r>
      <w:r>
        <w:t xml:space="preserve"> </w:t>
      </w:r>
      <w:r>
        <w:rPr>
          <w:i/>
          <w:iCs/>
        </w:rPr>
        <w:t>Id.</w:t>
      </w:r>
      <w:r>
        <w:t xml:space="preserve"> at 12.</w:t>
      </w:r>
    </w:p>
  </w:footnote>
  <w:footnote w:id="191">
    <w:p w14:paraId="07FDD2B1" w14:textId="77777777" w:rsidR="00A75C8E" w:rsidRDefault="004C556B">
      <w:pPr>
        <w:pStyle w:val="FootnoteText"/>
      </w:pPr>
      <w:r w:rsidRPr="00711863">
        <w:rPr>
          <w:rStyle w:val="FootnoteCharacters"/>
        </w:rPr>
        <w:footnoteRef/>
      </w:r>
      <w:r>
        <w:t xml:space="preserve"> </w:t>
      </w:r>
      <w:r>
        <w:rPr>
          <w:i/>
          <w:iCs/>
        </w:rPr>
        <w:t>Id</w:t>
      </w:r>
      <w:r>
        <w:rPr>
          <w:i/>
        </w:rPr>
        <w:t>.</w:t>
      </w:r>
      <w:r>
        <w:t xml:space="preserve"> at 13. For an excellent discussion of fair use and computer interfaces, </w:t>
      </w:r>
      <w:r>
        <w:rPr>
          <w:i/>
        </w:rPr>
        <w:t>see</w:t>
      </w:r>
      <w:r>
        <w:t xml:space="preserve"> Lemley &amp; Samuelson, </w:t>
      </w:r>
      <w:r>
        <w:rPr>
          <w:i/>
          <w:iCs/>
        </w:rPr>
        <w:t>supra</w:t>
      </w:r>
      <w:r>
        <w:t xml:space="preserve"> note 158.</w:t>
      </w:r>
    </w:p>
  </w:footnote>
  <w:footnote w:id="192">
    <w:p w14:paraId="2F888DF8" w14:textId="77777777" w:rsidR="00A75C8E" w:rsidRDefault="004C556B">
      <w:pPr>
        <w:pStyle w:val="FootnoteText"/>
      </w:pPr>
      <w:r w:rsidRPr="00711863">
        <w:rPr>
          <w:rStyle w:val="FootnoteCharacters"/>
        </w:rPr>
        <w:footnoteRef/>
      </w:r>
      <w:r>
        <w:t xml:space="preserve"> Thomson Reuters Enter. Centre GmbH v. Ross Intel., Inc., 765 F. Supp. 3d 382 (D. Del. 2025), </w:t>
      </w:r>
      <w:r>
        <w:rPr>
          <w:i/>
          <w:iCs/>
        </w:rPr>
        <w:t>appeal docketed</w:t>
      </w:r>
      <w:r>
        <w:t>, No. 25-8018 (3d Cir. Apr. 14, 2025).</w:t>
      </w:r>
    </w:p>
  </w:footnote>
  <w:footnote w:id="193">
    <w:p w14:paraId="24BB405F" w14:textId="77777777" w:rsidR="00A75C8E" w:rsidRDefault="004C556B">
      <w:pPr>
        <w:pStyle w:val="FootnoteText"/>
      </w:pPr>
      <w:r w:rsidRPr="00711863">
        <w:rPr>
          <w:rStyle w:val="FootnoteCharacters"/>
        </w:rPr>
        <w:footnoteRef/>
      </w:r>
      <w:r>
        <w:t xml:space="preserve"> </w:t>
      </w:r>
      <w:r>
        <w:rPr>
          <w:i/>
          <w:iCs/>
        </w:rPr>
        <w:t>Id</w:t>
      </w:r>
      <w:r>
        <w:rPr>
          <w:i/>
        </w:rPr>
        <w:t>.</w:t>
      </w:r>
      <w:r>
        <w:t xml:space="preserve"> at 390.</w:t>
      </w:r>
    </w:p>
  </w:footnote>
  <w:footnote w:id="194">
    <w:p w14:paraId="3EA14C93" w14:textId="77777777" w:rsidR="00A75C8E" w:rsidRDefault="004C556B">
      <w:pPr>
        <w:pStyle w:val="FootnoteText"/>
      </w:pPr>
      <w:r w:rsidRPr="00711863">
        <w:rPr>
          <w:rStyle w:val="FootnoteCharacters"/>
        </w:rPr>
        <w:footnoteRef/>
      </w:r>
      <w:r>
        <w:t xml:space="preserve"> </w:t>
      </w:r>
      <w:r>
        <w:rPr>
          <w:i/>
          <w:iCs/>
        </w:rPr>
        <w:t>Id</w:t>
      </w:r>
      <w:r>
        <w:rPr>
          <w:i/>
        </w:rPr>
        <w:t>.</w:t>
      </w:r>
      <w:r>
        <w:t xml:space="preserve"> at 390, 399.</w:t>
      </w:r>
    </w:p>
  </w:footnote>
  <w:footnote w:id="195">
    <w:p w14:paraId="4D036D3E" w14:textId="77777777" w:rsidR="00A75C8E" w:rsidRDefault="004C556B">
      <w:pPr>
        <w:pStyle w:val="FootnoteText"/>
      </w:pPr>
      <w:r w:rsidRPr="00711863">
        <w:rPr>
          <w:rStyle w:val="FootnoteCharacters"/>
        </w:rPr>
        <w:footnoteRef/>
      </w:r>
      <w:r>
        <w:t xml:space="preserve"> </w:t>
      </w:r>
      <w:r>
        <w:rPr>
          <w:i/>
          <w:iCs/>
        </w:rPr>
        <w:t>Id</w:t>
      </w:r>
      <w:r>
        <w:rPr>
          <w:i/>
        </w:rPr>
        <w:t>.</w:t>
      </w:r>
      <w:r>
        <w:t xml:space="preserve"> at 395–96.</w:t>
      </w:r>
    </w:p>
  </w:footnote>
  <w:footnote w:id="196">
    <w:p w14:paraId="1782D0D9" w14:textId="77777777" w:rsidR="00A75C8E" w:rsidRDefault="004C556B">
      <w:pPr>
        <w:pStyle w:val="FootnoteText"/>
      </w:pPr>
      <w:r w:rsidRPr="00711863">
        <w:rPr>
          <w:rStyle w:val="FootnoteCharacters"/>
        </w:rPr>
        <w:footnoteRef/>
      </w:r>
      <w:r>
        <w:t xml:space="preserve"> </w:t>
      </w:r>
      <w:r>
        <w:rPr>
          <w:i/>
          <w:iCs/>
        </w:rPr>
        <w:t>Id</w:t>
      </w:r>
      <w:r>
        <w:rPr>
          <w:i/>
        </w:rPr>
        <w:t>.</w:t>
      </w:r>
      <w:r>
        <w:t xml:space="preserve"> at 397–401.</w:t>
      </w:r>
    </w:p>
  </w:footnote>
  <w:footnote w:id="197">
    <w:p w14:paraId="1092C8D6" w14:textId="77777777" w:rsidR="00A75C8E" w:rsidRDefault="004C556B">
      <w:pPr>
        <w:pStyle w:val="FootnoteText"/>
      </w:pPr>
      <w:r w:rsidRPr="00711863">
        <w:rPr>
          <w:rStyle w:val="FootnoteCharacters"/>
        </w:rPr>
        <w:footnoteRef/>
      </w:r>
      <w:r>
        <w:t xml:space="preserve"> </w:t>
      </w:r>
      <w:r>
        <w:rPr>
          <w:i/>
          <w:iCs/>
        </w:rPr>
        <w:t>Id</w:t>
      </w:r>
      <w:r>
        <w:rPr>
          <w:i/>
        </w:rPr>
        <w:t>.</w:t>
      </w:r>
      <w:r>
        <w:t xml:space="preserve"> at 397–99.</w:t>
      </w:r>
    </w:p>
  </w:footnote>
  <w:footnote w:id="198">
    <w:p w14:paraId="6A2F6F77" w14:textId="77777777" w:rsidR="00A75C8E" w:rsidRDefault="004C556B">
      <w:pPr>
        <w:pStyle w:val="FootnoteText"/>
      </w:pPr>
      <w:r w:rsidRPr="00711863">
        <w:rPr>
          <w:rStyle w:val="FootnoteCharacters"/>
        </w:rPr>
        <w:footnoteRef/>
      </w:r>
      <w:r>
        <w:t xml:space="preserve"> </w:t>
      </w:r>
      <w:r>
        <w:rPr>
          <w:i/>
          <w:iCs/>
        </w:rPr>
        <w:t>Id</w:t>
      </w:r>
      <w:r>
        <w:rPr>
          <w:i/>
        </w:rPr>
        <w:t>.</w:t>
      </w:r>
      <w:r>
        <w:t xml:space="preserve"> at 399.</w:t>
      </w:r>
    </w:p>
  </w:footnote>
  <w:footnote w:id="199">
    <w:p w14:paraId="38D40B23" w14:textId="77777777" w:rsidR="00A75C8E" w:rsidRDefault="004C556B">
      <w:pPr>
        <w:pStyle w:val="FootnoteText"/>
      </w:pPr>
      <w:r w:rsidRPr="00711863">
        <w:rPr>
          <w:rStyle w:val="FootnoteCharacters"/>
        </w:rPr>
        <w:footnoteRef/>
      </w:r>
      <w:r>
        <w:t xml:space="preserve"> “My prior opinion wrongly concluded that I had to send [factor one] to a jury</w:t>
      </w:r>
      <w:proofErr w:type="gramStart"/>
      <w:r>
        <w:t>. . . .</w:t>
      </w:r>
      <w:proofErr w:type="gramEnd"/>
      <w:r>
        <w:t xml:space="preserve"> I based that conclusion on </w:t>
      </w:r>
      <w:r>
        <w:rPr>
          <w:i/>
        </w:rPr>
        <w:t>Sony</w:t>
      </w:r>
      <w:r>
        <w:t xml:space="preserve"> and </w:t>
      </w:r>
      <w:r>
        <w:rPr>
          <w:i/>
        </w:rPr>
        <w:t>Sega</w:t>
      </w:r>
      <w:r>
        <w:t xml:space="preserve">. Since then, I have realized that the intermediate-copying cases (1) are computer-programming copying cases; and (2) depend in part on the need to copy to reach the underlying ideas. Neither is true here. Because of that, this case fits more neatly into the newer framework advanced by </w:t>
      </w:r>
      <w:r>
        <w:rPr>
          <w:i/>
          <w:iCs/>
        </w:rPr>
        <w:t>Warhol</w:t>
      </w:r>
      <w:r>
        <w:t xml:space="preserve">.” </w:t>
      </w:r>
      <w:r>
        <w:rPr>
          <w:i/>
          <w:iCs/>
        </w:rPr>
        <w:t>Id.</w:t>
      </w:r>
    </w:p>
  </w:footnote>
  <w:footnote w:id="200">
    <w:p w14:paraId="39BC0E90" w14:textId="77777777" w:rsidR="00A75C8E" w:rsidRDefault="004C556B">
      <w:pPr>
        <w:pStyle w:val="FootnoteText"/>
      </w:pPr>
      <w:r w:rsidRPr="00711863">
        <w:rPr>
          <w:rStyle w:val="FootnoteCharacters"/>
        </w:rPr>
        <w:footnoteRef/>
      </w:r>
      <w:r>
        <w:t xml:space="preserve"> </w:t>
      </w:r>
      <w:r>
        <w:rPr>
          <w:i/>
          <w:iCs/>
        </w:rPr>
        <w:t>Id</w:t>
      </w:r>
      <w:r>
        <w:rPr>
          <w:i/>
        </w:rPr>
        <w:t>.</w:t>
      </w:r>
    </w:p>
  </w:footnote>
  <w:footnote w:id="201">
    <w:p w14:paraId="7E8783C6" w14:textId="77777777" w:rsidR="00A75C8E" w:rsidRDefault="004C556B">
      <w:pPr>
        <w:pStyle w:val="FootnoteText"/>
      </w:pPr>
      <w:r w:rsidRPr="00711863">
        <w:rPr>
          <w:rStyle w:val="FootnoteCharacters"/>
        </w:rPr>
        <w:footnoteRef/>
      </w:r>
      <w:r>
        <w:t xml:space="preserve"> Doe 1 v. GitHub, Inc., 672 F. Supp. 3d 837 (N.D. Cal. 2023).</w:t>
      </w:r>
    </w:p>
  </w:footnote>
  <w:footnote w:id="202">
    <w:p w14:paraId="2FD73E7D" w14:textId="77777777" w:rsidR="00A75C8E" w:rsidRDefault="004C556B">
      <w:pPr>
        <w:pStyle w:val="FootnoteText"/>
      </w:pPr>
      <w:r w:rsidRPr="00711863">
        <w:rPr>
          <w:rStyle w:val="FootnoteCharacters"/>
        </w:rPr>
        <w:footnoteRef/>
      </w:r>
      <w:r>
        <w:t xml:space="preserve"> 17 U.S.C. § 1201(b) (emphasis added).</w:t>
      </w:r>
    </w:p>
  </w:footnote>
  <w:footnote w:id="203">
    <w:p w14:paraId="6F85091D" w14:textId="77777777" w:rsidR="00A75C8E" w:rsidRDefault="004C556B">
      <w:pPr>
        <w:pStyle w:val="FootnoteText"/>
      </w:pPr>
      <w:r w:rsidRPr="00711863">
        <w:rPr>
          <w:rStyle w:val="FootnoteCharacters"/>
        </w:rPr>
        <w:footnoteRef/>
      </w:r>
      <w:r>
        <w:t xml:space="preserve"> </w:t>
      </w:r>
      <w:r>
        <w:rPr>
          <w:i/>
          <w:iCs/>
        </w:rPr>
        <w:t>GitHub</w:t>
      </w:r>
      <w:r>
        <w:t>, 672 F. Supp. 3d at 858–59.</w:t>
      </w:r>
    </w:p>
  </w:footnote>
  <w:footnote w:id="204">
    <w:p w14:paraId="5DBB9738" w14:textId="77777777" w:rsidR="00A75C8E" w:rsidRDefault="004C556B">
      <w:pPr>
        <w:pStyle w:val="FootnoteText"/>
      </w:pPr>
      <w:r w:rsidRPr="00711863">
        <w:rPr>
          <w:rStyle w:val="FootnoteCharacters"/>
        </w:rPr>
        <w:footnoteRef/>
      </w:r>
      <w:r>
        <w:t xml:space="preserve"> </w:t>
      </w:r>
      <w:r>
        <w:rPr>
          <w:i/>
          <w:iCs/>
        </w:rPr>
        <w:t>Id.</w:t>
      </w:r>
      <w:r>
        <w:t xml:space="preserve"> at 859.</w:t>
      </w:r>
    </w:p>
  </w:footnote>
  <w:footnote w:id="205">
    <w:p w14:paraId="00A51896" w14:textId="77777777" w:rsidR="00A75C8E" w:rsidRDefault="004C556B">
      <w:pPr>
        <w:pStyle w:val="FootnoteText"/>
      </w:pPr>
      <w:r w:rsidRPr="00711863">
        <w:rPr>
          <w:rStyle w:val="FootnoteCharacters"/>
        </w:rPr>
        <w:footnoteRef/>
      </w:r>
      <w:r>
        <w:t xml:space="preserve"> Andersen v. Stability AI Ltd., 700 F. Supp. 3d 853 (N.D. Cal. 2023). After the suit, Stability’s founding CEO stated that he should have used fully licensed training images and that future versions of Stable Diffusion would be based on fully licensed packages. </w:t>
      </w:r>
      <w:r>
        <w:rPr>
          <w:i/>
          <w:iCs/>
        </w:rPr>
        <w:t>Id</w:t>
      </w:r>
      <w:r>
        <w:rPr>
          <w:i/>
        </w:rPr>
        <w:t>.</w:t>
      </w:r>
      <w:r>
        <w:t xml:space="preserve"> at 860.</w:t>
      </w:r>
    </w:p>
  </w:footnote>
  <w:footnote w:id="206">
    <w:p w14:paraId="58ACF2C8" w14:textId="77777777" w:rsidR="00A75C8E" w:rsidRDefault="004C556B">
      <w:pPr>
        <w:pStyle w:val="FootnoteText"/>
      </w:pPr>
      <w:r w:rsidRPr="00711863">
        <w:rPr>
          <w:rStyle w:val="FootnoteCharacters"/>
        </w:rPr>
        <w:footnoteRef/>
      </w:r>
      <w:r>
        <w:t xml:space="preserve"> </w:t>
      </w:r>
      <w:r>
        <w:rPr>
          <w:i/>
          <w:iCs/>
        </w:rPr>
        <w:t>Id.</w:t>
      </w:r>
      <w:r>
        <w:t xml:space="preserve"> at 863–64.</w:t>
      </w:r>
    </w:p>
  </w:footnote>
  <w:footnote w:id="207">
    <w:p w14:paraId="7DEAB6A6" w14:textId="77777777" w:rsidR="00A75C8E" w:rsidRDefault="004C556B">
      <w:pPr>
        <w:pStyle w:val="FootnoteText"/>
      </w:pPr>
      <w:r w:rsidRPr="00711863">
        <w:rPr>
          <w:rStyle w:val="FootnoteCharacters"/>
        </w:rPr>
        <w:footnoteRef/>
      </w:r>
      <w:r>
        <w:t xml:space="preserve"> </w:t>
      </w:r>
      <w:r>
        <w:rPr>
          <w:i/>
          <w:iCs/>
        </w:rPr>
        <w:t>Id.</w:t>
      </w:r>
      <w:r>
        <w:t xml:space="preserve"> at 864–69.</w:t>
      </w:r>
    </w:p>
  </w:footnote>
  <w:footnote w:id="208">
    <w:p w14:paraId="306DFB5C" w14:textId="77777777" w:rsidR="00A75C8E" w:rsidRDefault="004C556B">
      <w:pPr>
        <w:pStyle w:val="FootnoteText"/>
      </w:pPr>
      <w:r w:rsidRPr="00711863">
        <w:rPr>
          <w:rStyle w:val="FootnoteCharacters"/>
        </w:rPr>
        <w:footnoteRef/>
      </w:r>
      <w:r>
        <w:t xml:space="preserve"> </w:t>
      </w:r>
      <w:r>
        <w:rPr>
          <w:i/>
          <w:iCs/>
        </w:rPr>
        <w:t>Id.</w:t>
      </w:r>
      <w:r>
        <w:t xml:space="preserve"> at 870–72.</w:t>
      </w:r>
    </w:p>
  </w:footnote>
  <w:footnote w:id="209">
    <w:p w14:paraId="0650D869" w14:textId="77777777" w:rsidR="00A75C8E" w:rsidRDefault="004C556B">
      <w:pPr>
        <w:pStyle w:val="FootnoteText"/>
      </w:pPr>
      <w:r w:rsidRPr="00711863">
        <w:rPr>
          <w:rStyle w:val="FootnoteCharacters"/>
        </w:rPr>
        <w:footnoteRef/>
      </w:r>
      <w:r>
        <w:t xml:space="preserve"> </w:t>
      </w:r>
      <w:r>
        <w:rPr>
          <w:i/>
          <w:iCs/>
        </w:rPr>
        <w:t>Id.</w:t>
      </w:r>
      <w:r>
        <w:t xml:space="preserve"> at 872.</w:t>
      </w:r>
    </w:p>
  </w:footnote>
  <w:footnote w:id="210">
    <w:p w14:paraId="668ADB68" w14:textId="77777777" w:rsidR="00A75C8E" w:rsidRDefault="004C556B">
      <w:pPr>
        <w:pStyle w:val="FootnoteText"/>
      </w:pPr>
      <w:r w:rsidRPr="00711863">
        <w:rPr>
          <w:rStyle w:val="FootnoteCharacters"/>
        </w:rPr>
        <w:footnoteRef/>
      </w:r>
      <w:r>
        <w:t xml:space="preserve"> </w:t>
      </w:r>
      <w:r>
        <w:rPr>
          <w:i/>
          <w:iCs/>
        </w:rPr>
        <w:t>Id.</w:t>
      </w:r>
      <w:r>
        <w:t xml:space="preserve"> at 872–75.</w:t>
      </w:r>
    </w:p>
  </w:footnote>
  <w:footnote w:id="211">
    <w:p w14:paraId="78100583" w14:textId="77777777" w:rsidR="00A75C8E" w:rsidRDefault="004C556B">
      <w:pPr>
        <w:pStyle w:val="FootnoteText"/>
      </w:pPr>
      <w:r w:rsidRPr="00711863">
        <w:rPr>
          <w:rStyle w:val="FootnoteCharacters"/>
        </w:rPr>
        <w:footnoteRef/>
      </w:r>
      <w:r>
        <w:t xml:space="preserve"> </w:t>
      </w:r>
      <w:r>
        <w:rPr>
          <w:i/>
          <w:iCs/>
        </w:rPr>
        <w:t>Id.</w:t>
      </w:r>
      <w:r>
        <w:t xml:space="preserve"> at 875.</w:t>
      </w:r>
    </w:p>
  </w:footnote>
  <w:footnote w:id="212">
    <w:p w14:paraId="19B05F8A" w14:textId="684ED72B" w:rsidR="00A75C8E" w:rsidRDefault="004C556B">
      <w:pPr>
        <w:pStyle w:val="FootnoteText"/>
      </w:pPr>
      <w:r w:rsidRPr="00711863">
        <w:rPr>
          <w:rStyle w:val="FootnoteCharacters"/>
        </w:rPr>
        <w:footnoteRef/>
      </w:r>
      <w:r>
        <w:t xml:space="preserve"> Andersen v. Stability AI Ltd., 744 F. Supp. 3d 956 (N.D. Cal. 2024).</w:t>
      </w:r>
    </w:p>
  </w:footnote>
  <w:footnote w:id="213">
    <w:p w14:paraId="1E4DE8A8" w14:textId="77777777" w:rsidR="00A75C8E" w:rsidRDefault="004C556B">
      <w:pPr>
        <w:pStyle w:val="FootnoteText"/>
      </w:pPr>
      <w:r w:rsidRPr="00711863">
        <w:rPr>
          <w:rStyle w:val="FootnoteCharacters"/>
        </w:rPr>
        <w:footnoteRef/>
      </w:r>
      <w:r>
        <w:t xml:space="preserve"> </w:t>
      </w:r>
      <w:r>
        <w:rPr>
          <w:i/>
          <w:iCs/>
        </w:rPr>
        <w:t>Id</w:t>
      </w:r>
      <w:r>
        <w:rPr>
          <w:i/>
        </w:rPr>
        <w:t>.</w:t>
      </w:r>
    </w:p>
  </w:footnote>
  <w:footnote w:id="214">
    <w:p w14:paraId="2DE33F5D" w14:textId="77777777" w:rsidR="00A75C8E" w:rsidRDefault="004C556B">
      <w:pPr>
        <w:pStyle w:val="FootnoteText"/>
      </w:pPr>
      <w:r w:rsidRPr="00711863">
        <w:rPr>
          <w:rStyle w:val="FootnoteCharacters"/>
        </w:rPr>
        <w:footnoteRef/>
      </w:r>
      <w:r>
        <w:t xml:space="preserve"> Complaint, Getty Images (US), Inc. v. Stability AI, Inc., No. 1:23-cv-00135-MN (D. Del. Feb. 3, 2023) (alleging unauthorized use of photographs to train AI models).</w:t>
      </w:r>
    </w:p>
  </w:footnote>
  <w:footnote w:id="215">
    <w:p w14:paraId="02028D75" w14:textId="77777777" w:rsidR="00A75C8E" w:rsidRDefault="004C556B">
      <w:pPr>
        <w:pStyle w:val="FootnoteText"/>
      </w:pPr>
      <w:r w:rsidRPr="00711863">
        <w:rPr>
          <w:rStyle w:val="FootnoteCharacters"/>
        </w:rPr>
        <w:footnoteRef/>
      </w:r>
      <w:r>
        <w:t xml:space="preserve"> Defendants Stability AI Ltd. and Stability AI US Services Corp.’s Notice of Motion and Motion to Dismiss Plaintiff’s Complaint at 1, Getty Images (US), Inc. v. Stability AI, Ltd., No. 3:25-cv-06891-TLT (N.D. Cal. Oct. 14, 2025).</w:t>
      </w:r>
    </w:p>
  </w:footnote>
  <w:footnote w:id="216">
    <w:p w14:paraId="36F97D99" w14:textId="77777777" w:rsidR="00A75C8E" w:rsidRDefault="004C556B">
      <w:pPr>
        <w:pStyle w:val="FootnoteText"/>
      </w:pPr>
      <w:r w:rsidRPr="00711863">
        <w:rPr>
          <w:rStyle w:val="FootnoteCharacters"/>
        </w:rPr>
        <w:footnoteRef/>
      </w:r>
      <w:r>
        <w:t xml:space="preserve"> Getty Images (US), Inc. v. Stability AI, Ltd., No. 3:25-cv-06891-TLT (N.D. Cal. Apr. 23, 2026) (order granting in part and denying in part motion to dismiss).</w:t>
      </w:r>
    </w:p>
  </w:footnote>
  <w:footnote w:id="217">
    <w:p w14:paraId="1C5423FD" w14:textId="77777777" w:rsidR="00A75C8E" w:rsidRDefault="004C556B">
      <w:pPr>
        <w:pStyle w:val="FootnoteText"/>
      </w:pPr>
      <w:r w:rsidRPr="00711863">
        <w:rPr>
          <w:rStyle w:val="FootnoteCharacters"/>
        </w:rPr>
        <w:footnoteRef/>
      </w:r>
      <w:r>
        <w:t xml:space="preserve"> Getty Images (US) Inc. &amp; Ors. v. Stability AI Ltd. [2025] EWHC 2863 (Ch) (Eng.).</w:t>
      </w:r>
    </w:p>
  </w:footnote>
  <w:footnote w:id="218">
    <w:p w14:paraId="62F55D60" w14:textId="77777777" w:rsidR="00A75C8E" w:rsidRDefault="004C556B">
      <w:pPr>
        <w:pStyle w:val="FootnoteText"/>
      </w:pPr>
      <w:r w:rsidRPr="00711863">
        <w:rPr>
          <w:rStyle w:val="FootnoteCharacters"/>
        </w:rPr>
        <w:footnoteRef/>
      </w:r>
      <w:r>
        <w:t xml:space="preserve"> </w:t>
      </w:r>
      <w:r>
        <w:rPr>
          <w:i/>
          <w:iCs/>
        </w:rPr>
        <w:t>Id</w:t>
      </w:r>
      <w:r>
        <w:rPr>
          <w:i/>
        </w:rPr>
        <w:t>.</w:t>
      </w:r>
      <w:r>
        <w:t xml:space="preserve">; </w:t>
      </w:r>
      <w:r>
        <w:rPr>
          <w:i/>
          <w:iCs/>
        </w:rPr>
        <w:t>see</w:t>
      </w:r>
      <w:r>
        <w:t xml:space="preserve"> Nick Smee &amp; Ailsa Carter, </w:t>
      </w:r>
      <w:r>
        <w:rPr>
          <w:i/>
          <w:iCs/>
        </w:rPr>
        <w:t>Getty Images’ Copyright Not Infringed by Stability AI Making Its Stable Diffusion Model Available to Users in the UK</w:t>
      </w:r>
      <w:r>
        <w:t xml:space="preserve">, </w:t>
      </w:r>
      <w:r>
        <w:rPr>
          <w:smallCaps/>
        </w:rPr>
        <w:t>Browne Jacobson</w:t>
      </w:r>
      <w:r>
        <w:t xml:space="preserve"> (Nov. 12, 2025), https://www.brownejacobson.com/insights/getty-images-stability-ai-judgment-uk-copyright-law-analysis.</w:t>
      </w:r>
    </w:p>
  </w:footnote>
  <w:footnote w:id="219">
    <w:p w14:paraId="7A0C1C1D" w14:textId="77777777" w:rsidR="00A75C8E" w:rsidRDefault="004C556B">
      <w:pPr>
        <w:pStyle w:val="FootnoteText"/>
      </w:pPr>
      <w:r w:rsidRPr="00711863">
        <w:rPr>
          <w:rStyle w:val="FootnoteCharacters"/>
        </w:rPr>
        <w:footnoteRef/>
      </w:r>
      <w:r>
        <w:t xml:space="preserve"> Bartz v. Anthropic PBC, 787 F. Supp. 3d 1007 (N.D. Cal. 2025).</w:t>
      </w:r>
    </w:p>
  </w:footnote>
  <w:footnote w:id="220">
    <w:p w14:paraId="3D9F887C" w14:textId="77777777" w:rsidR="00A75C8E" w:rsidRDefault="004C556B">
      <w:pPr>
        <w:pStyle w:val="FootnoteText"/>
      </w:pPr>
      <w:r w:rsidRPr="00711863">
        <w:rPr>
          <w:rStyle w:val="FootnoteCharacters"/>
        </w:rPr>
        <w:footnoteRef/>
      </w:r>
      <w:r>
        <w:t xml:space="preserve"> </w:t>
      </w:r>
      <w:r>
        <w:rPr>
          <w:i/>
          <w:iCs/>
        </w:rPr>
        <w:t>Id.</w:t>
      </w:r>
      <w:r>
        <w:t xml:space="preserve"> at 1019.</w:t>
      </w:r>
    </w:p>
  </w:footnote>
  <w:footnote w:id="221">
    <w:p w14:paraId="2C43D1F1" w14:textId="77777777" w:rsidR="00A75C8E" w:rsidRDefault="004C556B">
      <w:pPr>
        <w:pStyle w:val="FootnoteText"/>
      </w:pPr>
      <w:r w:rsidRPr="00711863">
        <w:rPr>
          <w:rStyle w:val="FootnoteCharacters"/>
        </w:rPr>
        <w:footnoteRef/>
      </w:r>
      <w:r>
        <w:t xml:space="preserve"> </w:t>
      </w:r>
      <w:r>
        <w:rPr>
          <w:i/>
          <w:iCs/>
        </w:rPr>
        <w:t>Id</w:t>
      </w:r>
      <w:r>
        <w:rPr>
          <w:i/>
        </w:rPr>
        <w:t>.</w:t>
      </w:r>
    </w:p>
  </w:footnote>
  <w:footnote w:id="222">
    <w:p w14:paraId="40D9DCAC" w14:textId="77777777" w:rsidR="00A75C8E" w:rsidRDefault="004C556B">
      <w:pPr>
        <w:pStyle w:val="FootnoteText"/>
      </w:pPr>
      <w:r w:rsidRPr="00711863">
        <w:rPr>
          <w:rStyle w:val="FootnoteCharacters"/>
        </w:rPr>
        <w:footnoteRef/>
      </w:r>
      <w:r>
        <w:t xml:space="preserve"> </w:t>
      </w:r>
      <w:r>
        <w:rPr>
          <w:i/>
          <w:iCs/>
        </w:rPr>
        <w:t>Id.</w:t>
      </w:r>
      <w:r>
        <w:t xml:space="preserve"> at 1033.</w:t>
      </w:r>
    </w:p>
  </w:footnote>
  <w:footnote w:id="223">
    <w:p w14:paraId="00F38F53" w14:textId="77777777" w:rsidR="00A75C8E" w:rsidRDefault="004C556B">
      <w:pPr>
        <w:pStyle w:val="FootnoteText"/>
      </w:pPr>
      <w:r w:rsidRPr="00711863">
        <w:rPr>
          <w:rStyle w:val="FootnoteCharacters"/>
        </w:rPr>
        <w:footnoteRef/>
      </w:r>
      <w:r>
        <w:t xml:space="preserve"> </w:t>
      </w:r>
      <w:r>
        <w:rPr>
          <w:i/>
          <w:iCs/>
        </w:rPr>
        <w:t>Id</w:t>
      </w:r>
      <w:r>
        <w:rPr>
          <w:i/>
        </w:rPr>
        <w:t>.</w:t>
      </w:r>
    </w:p>
  </w:footnote>
  <w:footnote w:id="224">
    <w:p w14:paraId="1ACE18A7" w14:textId="77777777" w:rsidR="00A75C8E" w:rsidRDefault="004C556B">
      <w:pPr>
        <w:pStyle w:val="FootnoteText"/>
      </w:pPr>
      <w:r w:rsidRPr="00711863">
        <w:rPr>
          <w:rStyle w:val="FootnoteCharacters"/>
        </w:rPr>
        <w:footnoteRef/>
      </w:r>
      <w:r>
        <w:t xml:space="preserve"> </w:t>
      </w:r>
      <w:r>
        <w:rPr>
          <w:i/>
          <w:iCs/>
        </w:rPr>
        <w:t>Id</w:t>
      </w:r>
      <w:r>
        <w:rPr>
          <w:i/>
        </w:rPr>
        <w:t>.</w:t>
      </w:r>
    </w:p>
  </w:footnote>
  <w:footnote w:id="225">
    <w:p w14:paraId="6F948CAB" w14:textId="77777777" w:rsidR="00A75C8E" w:rsidRDefault="004C556B">
      <w:pPr>
        <w:pStyle w:val="FootnoteText"/>
      </w:pPr>
      <w:r w:rsidRPr="00711863">
        <w:rPr>
          <w:rStyle w:val="FootnoteCharacters"/>
        </w:rPr>
        <w:footnoteRef/>
      </w:r>
      <w:r>
        <w:t xml:space="preserve"> </w:t>
      </w:r>
      <w:r>
        <w:rPr>
          <w:i/>
          <w:iCs/>
        </w:rPr>
        <w:t>Id.</w:t>
      </w:r>
      <w:r>
        <w:t xml:space="preserve"> at 1034.</w:t>
      </w:r>
    </w:p>
  </w:footnote>
  <w:footnote w:id="226">
    <w:p w14:paraId="30E564D6" w14:textId="77777777" w:rsidR="00A75C8E" w:rsidRDefault="004C556B">
      <w:pPr>
        <w:pStyle w:val="FootnoteText"/>
      </w:pPr>
      <w:r w:rsidRPr="00711863">
        <w:rPr>
          <w:rStyle w:val="FootnoteCharacters"/>
        </w:rPr>
        <w:footnoteRef/>
      </w:r>
      <w:r>
        <w:t xml:space="preserve"> Memorandum Opinion on Preliminary Approval of Class Action Settlement, Bartz v. Anthropic PBC, No. C 24-05417 WHA (N.D. Cal. Oct. 17, 2025).</w:t>
      </w:r>
    </w:p>
  </w:footnote>
  <w:footnote w:id="227">
    <w:p w14:paraId="6B5A2667" w14:textId="77777777" w:rsidR="00A75C8E" w:rsidRDefault="004C556B">
      <w:pPr>
        <w:pStyle w:val="FootnoteText"/>
      </w:pPr>
      <w:r w:rsidRPr="00711863">
        <w:rPr>
          <w:rStyle w:val="FootnoteCharacters"/>
        </w:rPr>
        <w:footnoteRef/>
      </w:r>
      <w:r>
        <w:t xml:space="preserve"> </w:t>
      </w:r>
      <w:proofErr w:type="spellStart"/>
      <w:r>
        <w:t>Kadrey</w:t>
      </w:r>
      <w:proofErr w:type="spellEnd"/>
      <w:r>
        <w:t xml:space="preserve"> v. Meta Platforms, Inc., 788 F. Supp. 3d 1026 (N.D. Cal. 2025).</w:t>
      </w:r>
    </w:p>
  </w:footnote>
  <w:footnote w:id="228">
    <w:p w14:paraId="7C803440" w14:textId="77777777" w:rsidR="00A75C8E" w:rsidRDefault="004C556B">
      <w:pPr>
        <w:pStyle w:val="FootnoteText"/>
      </w:pPr>
      <w:r w:rsidRPr="00711863">
        <w:rPr>
          <w:rStyle w:val="FootnoteCharacters"/>
        </w:rPr>
        <w:footnoteRef/>
      </w:r>
      <w:r>
        <w:t xml:space="preserve"> </w:t>
      </w:r>
      <w:r>
        <w:rPr>
          <w:i/>
          <w:iCs/>
        </w:rPr>
        <w:t>Id</w:t>
      </w:r>
      <w:r>
        <w:rPr>
          <w:i/>
        </w:rPr>
        <w:t>.</w:t>
      </w:r>
      <w:r>
        <w:t xml:space="preserve"> at 1036–37.</w:t>
      </w:r>
    </w:p>
  </w:footnote>
  <w:footnote w:id="229">
    <w:p w14:paraId="5D617E99" w14:textId="77777777" w:rsidR="00A75C8E" w:rsidRDefault="004C556B">
      <w:pPr>
        <w:pStyle w:val="FootnoteText"/>
      </w:pPr>
      <w:r w:rsidRPr="00711863">
        <w:rPr>
          <w:rStyle w:val="FootnoteCharacters"/>
        </w:rPr>
        <w:footnoteRef/>
      </w:r>
      <w:r>
        <w:t xml:space="preserve"> </w:t>
      </w:r>
      <w:r>
        <w:rPr>
          <w:i/>
          <w:iCs/>
        </w:rPr>
        <w:t>Id</w:t>
      </w:r>
      <w:r>
        <w:rPr>
          <w:i/>
        </w:rPr>
        <w:t>.</w:t>
      </w:r>
      <w:r>
        <w:t xml:space="preserve"> at 1046.</w:t>
      </w:r>
    </w:p>
  </w:footnote>
  <w:footnote w:id="230">
    <w:p w14:paraId="00429D76" w14:textId="77777777" w:rsidR="00A75C8E" w:rsidRDefault="004C556B">
      <w:pPr>
        <w:pStyle w:val="FootnoteText"/>
      </w:pPr>
      <w:r w:rsidRPr="00711863">
        <w:rPr>
          <w:rStyle w:val="FootnoteCharacters"/>
        </w:rPr>
        <w:footnoteRef/>
      </w:r>
      <w:r>
        <w:t xml:space="preserve"> </w:t>
      </w:r>
      <w:r>
        <w:rPr>
          <w:i/>
          <w:iCs/>
        </w:rPr>
        <w:t>Id</w:t>
      </w:r>
      <w:r>
        <w:rPr>
          <w:i/>
        </w:rPr>
        <w:t>.</w:t>
      </w:r>
    </w:p>
  </w:footnote>
  <w:footnote w:id="231">
    <w:p w14:paraId="169F5E3C" w14:textId="77777777" w:rsidR="00A75C8E" w:rsidRDefault="004C556B">
      <w:pPr>
        <w:pStyle w:val="FootnoteText"/>
      </w:pPr>
      <w:r w:rsidRPr="00711863">
        <w:rPr>
          <w:rStyle w:val="FootnoteCharacters"/>
        </w:rPr>
        <w:footnoteRef/>
      </w:r>
      <w:r>
        <w:t xml:space="preserve"> </w:t>
      </w:r>
      <w:r>
        <w:rPr>
          <w:i/>
          <w:iCs/>
        </w:rPr>
        <w:t>Id</w:t>
      </w:r>
      <w:r>
        <w:rPr>
          <w:i/>
        </w:rPr>
        <w:t>.</w:t>
      </w:r>
      <w:r>
        <w:t xml:space="preserve"> at 1047.</w:t>
      </w:r>
    </w:p>
  </w:footnote>
  <w:footnote w:id="232">
    <w:p w14:paraId="7AEED745" w14:textId="77777777" w:rsidR="00A75C8E" w:rsidRDefault="004C556B">
      <w:pPr>
        <w:pStyle w:val="FootnoteText"/>
      </w:pPr>
      <w:r w:rsidRPr="00711863">
        <w:rPr>
          <w:rStyle w:val="FootnoteCharacters"/>
        </w:rPr>
        <w:footnoteRef/>
      </w:r>
      <w:r>
        <w:t xml:space="preserve"> </w:t>
      </w:r>
      <w:r>
        <w:rPr>
          <w:i/>
          <w:iCs/>
        </w:rPr>
        <w:t>Id</w:t>
      </w:r>
      <w:r>
        <w:rPr>
          <w:i/>
        </w:rPr>
        <w:t>.</w:t>
      </w:r>
      <w:r>
        <w:t xml:space="preserve"> at 1049–50.</w:t>
      </w:r>
    </w:p>
  </w:footnote>
  <w:footnote w:id="233">
    <w:p w14:paraId="37C57878" w14:textId="77777777" w:rsidR="00A75C8E" w:rsidRDefault="004C556B">
      <w:pPr>
        <w:pStyle w:val="FootnoteText"/>
      </w:pPr>
      <w:r w:rsidRPr="00711863">
        <w:rPr>
          <w:rStyle w:val="FootnoteCharacters"/>
        </w:rPr>
        <w:footnoteRef/>
      </w:r>
      <w:r>
        <w:t xml:space="preserve"> </w:t>
      </w:r>
      <w:r>
        <w:rPr>
          <w:i/>
          <w:iCs/>
        </w:rPr>
        <w:t>Id</w:t>
      </w:r>
      <w:r>
        <w:rPr>
          <w:i/>
        </w:rPr>
        <w:t>.</w:t>
      </w:r>
      <w:r>
        <w:t xml:space="preserve"> at 1052.</w:t>
      </w:r>
    </w:p>
  </w:footnote>
  <w:footnote w:id="234">
    <w:p w14:paraId="2DAB6FFB" w14:textId="77777777" w:rsidR="00A75C8E" w:rsidRDefault="004C556B">
      <w:pPr>
        <w:pStyle w:val="FootnoteText"/>
      </w:pPr>
      <w:r w:rsidRPr="00711863">
        <w:rPr>
          <w:rStyle w:val="FootnoteCharacters"/>
        </w:rPr>
        <w:footnoteRef/>
      </w:r>
      <w:r>
        <w:t xml:space="preserve"> </w:t>
      </w:r>
      <w:r>
        <w:rPr>
          <w:i/>
          <w:iCs/>
        </w:rPr>
        <w:t>Id</w:t>
      </w:r>
      <w:r>
        <w:rPr>
          <w:i/>
        </w:rPr>
        <w:t>.</w:t>
      </w:r>
    </w:p>
  </w:footnote>
  <w:footnote w:id="235">
    <w:p w14:paraId="24F3C89A" w14:textId="77777777" w:rsidR="00A75C8E" w:rsidRDefault="004C556B">
      <w:pPr>
        <w:pStyle w:val="FootnoteText"/>
      </w:pPr>
      <w:r w:rsidRPr="00711863">
        <w:rPr>
          <w:rStyle w:val="FootnoteCharacters"/>
        </w:rPr>
        <w:footnoteRef/>
      </w:r>
      <w:r>
        <w:t xml:space="preserve"> </w:t>
      </w:r>
      <w:r>
        <w:rPr>
          <w:i/>
          <w:iCs/>
        </w:rPr>
        <w:t>Id</w:t>
      </w:r>
      <w:r>
        <w:rPr>
          <w:i/>
        </w:rPr>
        <w:t>.</w:t>
      </w:r>
      <w:r>
        <w:t xml:space="preserve"> at 1060.</w:t>
      </w:r>
    </w:p>
  </w:footnote>
  <w:footnote w:id="236">
    <w:p w14:paraId="37637C4F" w14:textId="77777777" w:rsidR="00A75C8E" w:rsidRDefault="004C556B">
      <w:pPr>
        <w:pStyle w:val="FootnoteText"/>
      </w:pPr>
      <w:r w:rsidRPr="00711863">
        <w:rPr>
          <w:rStyle w:val="FootnoteCharacters"/>
        </w:rPr>
        <w:footnoteRef/>
      </w:r>
      <w:r>
        <w:t xml:space="preserve"> </w:t>
      </w:r>
      <w:r>
        <w:rPr>
          <w:i/>
          <w:iCs/>
        </w:rPr>
        <w:t>Id</w:t>
      </w:r>
      <w:r>
        <w:rPr>
          <w:i/>
        </w:rPr>
        <w:t>.</w:t>
      </w:r>
    </w:p>
  </w:footnote>
  <w:footnote w:id="237">
    <w:p w14:paraId="7EA4BDA9" w14:textId="77777777" w:rsidR="00A75C8E" w:rsidRDefault="004C556B">
      <w:pPr>
        <w:pStyle w:val="FootnoteText"/>
      </w:pPr>
      <w:r w:rsidRPr="00711863">
        <w:rPr>
          <w:rStyle w:val="FootnoteCharacters"/>
        </w:rPr>
        <w:footnoteRef/>
      </w:r>
      <w:r>
        <w:t xml:space="preserve"> Concord Music Grp., Inc. v. Anthropic PBC, 772 F. Supp. 3d 1131 (N.D. Cal. 2025).</w:t>
      </w:r>
    </w:p>
  </w:footnote>
  <w:footnote w:id="238">
    <w:p w14:paraId="110CE9DE" w14:textId="77777777" w:rsidR="00A75C8E" w:rsidRDefault="004C556B">
      <w:pPr>
        <w:pStyle w:val="FootnoteText"/>
      </w:pPr>
      <w:r w:rsidRPr="00711863">
        <w:rPr>
          <w:rStyle w:val="FootnoteCharacters"/>
        </w:rPr>
        <w:footnoteRef/>
      </w:r>
      <w:r>
        <w:t xml:space="preserve"> </w:t>
      </w:r>
      <w:r>
        <w:rPr>
          <w:i/>
          <w:iCs/>
        </w:rPr>
        <w:t>Id</w:t>
      </w:r>
      <w:r>
        <w:rPr>
          <w:i/>
        </w:rPr>
        <w:t>.</w:t>
      </w:r>
      <w:r>
        <w:t xml:space="preserve"> at 1135.</w:t>
      </w:r>
    </w:p>
  </w:footnote>
  <w:footnote w:id="239">
    <w:p w14:paraId="3774ABA9" w14:textId="77777777" w:rsidR="00A75C8E" w:rsidRDefault="004C556B">
      <w:pPr>
        <w:pStyle w:val="FootnoteText"/>
      </w:pPr>
      <w:r w:rsidRPr="00711863">
        <w:rPr>
          <w:rStyle w:val="FootnoteCharacters"/>
        </w:rPr>
        <w:footnoteRef/>
      </w:r>
      <w:r>
        <w:t xml:space="preserve"> </w:t>
      </w:r>
      <w:r>
        <w:rPr>
          <w:i/>
          <w:iCs/>
        </w:rPr>
        <w:t xml:space="preserve">See </w:t>
      </w:r>
      <w:proofErr w:type="gramStart"/>
      <w:r>
        <w:rPr>
          <w:i/>
          <w:iCs/>
        </w:rPr>
        <w:t>supra</w:t>
      </w:r>
      <w:r>
        <w:t xml:space="preserve"> Section</w:t>
      </w:r>
      <w:proofErr w:type="gramEnd"/>
      <w:r>
        <w:t xml:space="preserve"> 7.2.</w:t>
      </w:r>
    </w:p>
  </w:footnote>
  <w:footnote w:id="240">
    <w:p w14:paraId="11EA4D36" w14:textId="77777777" w:rsidR="00A75C8E" w:rsidRDefault="004C556B">
      <w:pPr>
        <w:pStyle w:val="FootnoteText"/>
      </w:pPr>
      <w:r w:rsidRPr="00711863">
        <w:rPr>
          <w:rStyle w:val="FootnoteCharacters"/>
        </w:rPr>
        <w:footnoteRef/>
      </w:r>
      <w:r>
        <w:t xml:space="preserve"> Prior to this decision, the parties entered into a stipulation regarding the output side of the copyright dispute, under which Anthropic agreed to maintain guardrails for its AI models and products. </w:t>
      </w:r>
      <w:r>
        <w:rPr>
          <w:i/>
        </w:rPr>
        <w:t>Concord Music</w:t>
      </w:r>
      <w:r>
        <w:t>, 772 F. Supp. 3d at 1136. Thus, significantly, only the input side of the copyright dispute (the training) remains.</w:t>
      </w:r>
    </w:p>
  </w:footnote>
  <w:footnote w:id="241">
    <w:p w14:paraId="64A0C9C9" w14:textId="77777777" w:rsidR="00A75C8E" w:rsidRDefault="004C556B">
      <w:pPr>
        <w:pStyle w:val="FootnoteText"/>
      </w:pPr>
      <w:r w:rsidRPr="00711863">
        <w:rPr>
          <w:rStyle w:val="FootnoteCharacters"/>
        </w:rPr>
        <w:footnoteRef/>
      </w:r>
      <w:r>
        <w:t xml:space="preserve"> </w:t>
      </w:r>
      <w:r>
        <w:rPr>
          <w:i/>
          <w:iCs/>
        </w:rPr>
        <w:t>Id</w:t>
      </w:r>
      <w:r>
        <w:rPr>
          <w:i/>
        </w:rPr>
        <w:t>.</w:t>
      </w:r>
      <w:r>
        <w:t xml:space="preserve"> at 1139–42.</w:t>
      </w:r>
    </w:p>
  </w:footnote>
  <w:footnote w:id="242">
    <w:p w14:paraId="076A1491" w14:textId="77777777" w:rsidR="00A75C8E" w:rsidRDefault="004C556B">
      <w:pPr>
        <w:pStyle w:val="FootnoteText"/>
      </w:pPr>
      <w:r w:rsidRPr="00711863">
        <w:rPr>
          <w:rStyle w:val="FootnoteCharacters"/>
        </w:rPr>
        <w:footnoteRef/>
      </w:r>
      <w:r>
        <w:t xml:space="preserve"> </w:t>
      </w:r>
      <w:r>
        <w:rPr>
          <w:i/>
          <w:iCs/>
        </w:rPr>
        <w:t>Id</w:t>
      </w:r>
      <w:r>
        <w:rPr>
          <w:i/>
        </w:rPr>
        <w:t>.</w:t>
      </w:r>
      <w:r>
        <w:t xml:space="preserve"> at 1139–40.</w:t>
      </w:r>
    </w:p>
  </w:footnote>
  <w:footnote w:id="243">
    <w:p w14:paraId="0BA3AB69" w14:textId="77777777" w:rsidR="00A75C8E" w:rsidRDefault="004C556B">
      <w:pPr>
        <w:pStyle w:val="FootnoteText"/>
      </w:pPr>
      <w:r w:rsidRPr="00711863">
        <w:rPr>
          <w:rStyle w:val="FootnoteCharacters"/>
        </w:rPr>
        <w:footnoteRef/>
      </w:r>
      <w:r>
        <w:t xml:space="preserve"> </w:t>
      </w:r>
      <w:r>
        <w:rPr>
          <w:i/>
          <w:iCs/>
        </w:rPr>
        <w:t>Id</w:t>
      </w:r>
      <w:r>
        <w:rPr>
          <w:i/>
        </w:rPr>
        <w:t>.</w:t>
      </w:r>
      <w:r>
        <w:t xml:space="preserve"> at 1140.</w:t>
      </w:r>
    </w:p>
  </w:footnote>
  <w:footnote w:id="244">
    <w:p w14:paraId="20F39F7B" w14:textId="77777777" w:rsidR="00A75C8E" w:rsidRDefault="004C556B">
      <w:pPr>
        <w:pStyle w:val="FootnoteText"/>
      </w:pPr>
      <w:r w:rsidRPr="00711863">
        <w:rPr>
          <w:rStyle w:val="FootnoteCharacters"/>
        </w:rPr>
        <w:footnoteRef/>
      </w:r>
      <w:r>
        <w:t xml:space="preserve"> </w:t>
      </w:r>
      <w:r>
        <w:rPr>
          <w:i/>
          <w:iCs/>
        </w:rPr>
        <w:t>Id</w:t>
      </w:r>
      <w:r>
        <w:rPr>
          <w:i/>
        </w:rPr>
        <w:t>.</w:t>
      </w:r>
      <w:r>
        <w:t xml:space="preserve"> at 1142.</w:t>
      </w:r>
    </w:p>
  </w:footnote>
  <w:footnote w:id="245">
    <w:p w14:paraId="3D39FE56" w14:textId="77777777" w:rsidR="00A75C8E" w:rsidRDefault="004C556B">
      <w:pPr>
        <w:pStyle w:val="FootnoteText"/>
      </w:pPr>
      <w:r w:rsidRPr="00711863">
        <w:rPr>
          <w:rStyle w:val="FootnoteCharacters"/>
        </w:rPr>
        <w:footnoteRef/>
      </w:r>
      <w:r>
        <w:t xml:space="preserve"> </w:t>
      </w:r>
      <w:r>
        <w:rPr>
          <w:i/>
          <w:iCs/>
        </w:rPr>
        <w:t>Id</w:t>
      </w:r>
      <w:r>
        <w:rPr>
          <w:i/>
        </w:rPr>
        <w:t>.</w:t>
      </w:r>
      <w:r>
        <w:t xml:space="preserve"> at 1141.</w:t>
      </w:r>
    </w:p>
  </w:footnote>
  <w:footnote w:id="246">
    <w:p w14:paraId="74DEFC1C" w14:textId="77777777" w:rsidR="00A75C8E" w:rsidRDefault="004C556B">
      <w:pPr>
        <w:pStyle w:val="FootnoteText"/>
      </w:pPr>
      <w:r w:rsidRPr="00711863">
        <w:rPr>
          <w:rStyle w:val="FootnoteCharacters"/>
        </w:rPr>
        <w:footnoteRef/>
      </w:r>
      <w:r>
        <w:t xml:space="preserve"> </w:t>
      </w:r>
      <w:r>
        <w:rPr>
          <w:i/>
          <w:iCs/>
        </w:rPr>
        <w:t>Id</w:t>
      </w:r>
      <w:r>
        <w:rPr>
          <w:i/>
        </w:rPr>
        <w:t>.</w:t>
      </w:r>
      <w:r>
        <w:t xml:space="preserve"> at 1139.</w:t>
      </w:r>
    </w:p>
  </w:footnote>
  <w:footnote w:id="247">
    <w:p w14:paraId="297ABA54" w14:textId="77777777" w:rsidR="00A75C8E" w:rsidRDefault="004C556B">
      <w:pPr>
        <w:pStyle w:val="FootnoteText"/>
      </w:pPr>
      <w:r w:rsidRPr="00711863">
        <w:rPr>
          <w:rStyle w:val="FootnoteCharacters"/>
        </w:rPr>
        <w:footnoteRef/>
      </w:r>
      <w:r>
        <w:t xml:space="preserve"> Tremblay v. OpenAI, Inc., 716 F. Supp. 3d 772 (N.D. Cal. 2024).</w:t>
      </w:r>
    </w:p>
  </w:footnote>
  <w:footnote w:id="248">
    <w:p w14:paraId="644B019A" w14:textId="77777777" w:rsidR="00A75C8E" w:rsidRDefault="004C556B">
      <w:pPr>
        <w:pStyle w:val="FootnoteText"/>
      </w:pPr>
      <w:r w:rsidRPr="00711863">
        <w:rPr>
          <w:rStyle w:val="FootnoteCharacters"/>
        </w:rPr>
        <w:footnoteRef/>
      </w:r>
      <w:r>
        <w:t xml:space="preserve"> Complaint, Chabon v. OpenAI, Inc., No. 3:23-cv-04625 (N.D. Cal. Sept. 8, 2023), ECF No. 1.</w:t>
      </w:r>
    </w:p>
  </w:footnote>
  <w:footnote w:id="249">
    <w:p w14:paraId="2C897006" w14:textId="77777777" w:rsidR="00A75C8E" w:rsidRDefault="004C556B">
      <w:pPr>
        <w:pStyle w:val="FootnoteText"/>
      </w:pPr>
      <w:r w:rsidRPr="00711863">
        <w:rPr>
          <w:rStyle w:val="FootnoteCharacters"/>
        </w:rPr>
        <w:footnoteRef/>
      </w:r>
      <w:r>
        <w:t xml:space="preserve"> Complaint, Silverman v. OpenAI, Inc., No. 3:23-cv-03416 (N.D. Cal. July 7, 2023), ECF No. 1.</w:t>
      </w:r>
    </w:p>
  </w:footnote>
  <w:footnote w:id="250">
    <w:p w14:paraId="2F9B726B" w14:textId="77777777" w:rsidR="00A75C8E" w:rsidRDefault="004C556B">
      <w:pPr>
        <w:pStyle w:val="FootnoteText"/>
      </w:pPr>
      <w:r w:rsidRPr="00711863">
        <w:rPr>
          <w:rStyle w:val="FootnoteCharacters"/>
        </w:rPr>
        <w:footnoteRef/>
      </w:r>
      <w:r>
        <w:t xml:space="preserve"> Transfer Order, In re OpenAI, Inc., Copyright Infringement Litig., MDL No. 3143 (J.P.M.L. Apr. 3, 2025) (consolidating, per Schedule A: Tremblay v. OpenAI, Inc., No. 3:23-03223; Silverman v. OpenAI, Inc., No. 3:23-03416; Chabon v. OpenAI, Inc., No. 3:23-04625; Millette v. OpenAI, Inc., No. 5:24-04710; Authors Guild v. OpenAI, Inc., No. 1:23-08292; Alter v. OpenAI, Inc., No. 1:23-10211; New York Times Co. v. Microsoft Corp., No. 1:23-11195; Basbanes v. Microsoft Corp., No. 1:24-00084; Raw Story Media, Inc. v. OpenAI, Inc., No. 1:24-01514; Intercept Media, Inc. v. OpenAI, Inc., No. 1:24-01515; Daily News LP v. Microsoft Corp., No. 1:24-03285; and Center for Investigative Reporting, Inc. v. OpenAI, Inc., No. 1:24-04872).</w:t>
      </w:r>
    </w:p>
  </w:footnote>
  <w:footnote w:id="251">
    <w:p w14:paraId="79813D59" w14:textId="77777777" w:rsidR="00A75C8E" w:rsidRDefault="004C556B">
      <w:pPr>
        <w:pStyle w:val="FootnoteText"/>
      </w:pPr>
      <w:r w:rsidRPr="00711863">
        <w:rPr>
          <w:rStyle w:val="FootnoteCharacters"/>
        </w:rPr>
        <w:footnoteRef/>
      </w:r>
      <w:r>
        <w:t xml:space="preserve"> Intercept Media, Inc. v. OpenAI, Inc., 767 F. Supp. 3d 18 (S.D.N.Y. 2025).</w:t>
      </w:r>
    </w:p>
  </w:footnote>
  <w:footnote w:id="252">
    <w:p w14:paraId="6E1B6E4C" w14:textId="77777777" w:rsidR="00A75C8E" w:rsidRDefault="004C556B">
      <w:pPr>
        <w:pStyle w:val="FootnoteText"/>
      </w:pPr>
      <w:r w:rsidRPr="00711863">
        <w:rPr>
          <w:rStyle w:val="FootnoteCharacters"/>
        </w:rPr>
        <w:footnoteRef/>
      </w:r>
      <w:r>
        <w:t xml:space="preserve"> New York Times Co. v. Microsoft Corp., 777 F. Supp. 3d 283 (S.D.N.Y. 2025).</w:t>
      </w:r>
    </w:p>
  </w:footnote>
  <w:footnote w:id="253">
    <w:p w14:paraId="2D635A43" w14:textId="77777777" w:rsidR="00A75C8E" w:rsidRDefault="004C556B">
      <w:pPr>
        <w:pStyle w:val="FootnoteText"/>
      </w:pPr>
      <w:r w:rsidRPr="00711863">
        <w:rPr>
          <w:rStyle w:val="FootnoteCharacters"/>
        </w:rPr>
        <w:footnoteRef/>
      </w:r>
      <w:r>
        <w:t xml:space="preserve"> </w:t>
      </w:r>
      <w:r>
        <w:rPr>
          <w:i/>
        </w:rPr>
        <w:t>Tremblay</w:t>
      </w:r>
      <w:r>
        <w:t>, 716 F. Supp. 3d at 772.</w:t>
      </w:r>
    </w:p>
  </w:footnote>
  <w:footnote w:id="254">
    <w:p w14:paraId="578A9188" w14:textId="77777777" w:rsidR="00A75C8E" w:rsidRDefault="004C556B">
      <w:pPr>
        <w:pStyle w:val="FootnoteText"/>
      </w:pPr>
      <w:r w:rsidRPr="00711863">
        <w:rPr>
          <w:rStyle w:val="FootnoteCharacters"/>
        </w:rPr>
        <w:footnoteRef/>
      </w:r>
      <w:r>
        <w:t xml:space="preserve"> </w:t>
      </w:r>
      <w:r>
        <w:rPr>
          <w:i/>
          <w:iCs/>
        </w:rPr>
        <w:t>Id.</w:t>
      </w:r>
      <w:r>
        <w:t xml:space="preserve"> at 778–79.</w:t>
      </w:r>
    </w:p>
  </w:footnote>
  <w:footnote w:id="255">
    <w:p w14:paraId="79FDFC66" w14:textId="77777777" w:rsidR="00A75C8E" w:rsidRDefault="004C556B">
      <w:pPr>
        <w:pStyle w:val="FootnoteText"/>
      </w:pPr>
      <w:r w:rsidRPr="00711863">
        <w:rPr>
          <w:rStyle w:val="FootnoteCharacters"/>
        </w:rPr>
        <w:footnoteRef/>
      </w:r>
      <w:r>
        <w:t xml:space="preserve"> </w:t>
      </w:r>
      <w:r>
        <w:rPr>
          <w:i/>
          <w:iCs/>
        </w:rPr>
        <w:t>Id</w:t>
      </w:r>
      <w:r>
        <w:rPr>
          <w:i/>
        </w:rPr>
        <w:t>.</w:t>
      </w:r>
    </w:p>
  </w:footnote>
  <w:footnote w:id="256">
    <w:p w14:paraId="1FC8C7C6" w14:textId="77777777" w:rsidR="00A75C8E" w:rsidRDefault="004C556B">
      <w:pPr>
        <w:pStyle w:val="FootnoteText"/>
      </w:pPr>
      <w:r w:rsidRPr="00711863">
        <w:rPr>
          <w:rStyle w:val="FootnoteCharacters"/>
        </w:rPr>
        <w:footnoteRef/>
      </w:r>
      <w:r>
        <w:t xml:space="preserve"> </w:t>
      </w:r>
      <w:r>
        <w:rPr>
          <w:i/>
          <w:iCs/>
        </w:rPr>
        <w:t>Id.</w:t>
      </w:r>
      <w:r>
        <w:t xml:space="preserve"> at 779–80.</w:t>
      </w:r>
    </w:p>
  </w:footnote>
  <w:footnote w:id="257">
    <w:p w14:paraId="74A4AE00" w14:textId="77777777" w:rsidR="00A75C8E" w:rsidRDefault="004C556B">
      <w:pPr>
        <w:pStyle w:val="FootnoteText"/>
      </w:pPr>
      <w:r w:rsidRPr="00711863">
        <w:rPr>
          <w:rStyle w:val="FootnoteCharacters"/>
        </w:rPr>
        <w:footnoteRef/>
      </w:r>
      <w:r>
        <w:t xml:space="preserve"> </w:t>
      </w:r>
      <w:r>
        <w:rPr>
          <w:i/>
        </w:rPr>
        <w:t>Intercept Media</w:t>
      </w:r>
      <w:r>
        <w:t>, 767 F. Supp. 3d at 29–33.</w:t>
      </w:r>
    </w:p>
  </w:footnote>
  <w:footnote w:id="258">
    <w:p w14:paraId="6CB4233E" w14:textId="77777777" w:rsidR="00A75C8E" w:rsidRDefault="004C556B">
      <w:pPr>
        <w:pStyle w:val="FootnoteText"/>
      </w:pPr>
      <w:r w:rsidRPr="00711863">
        <w:rPr>
          <w:rStyle w:val="FootnoteCharacters"/>
        </w:rPr>
        <w:footnoteRef/>
      </w:r>
      <w:r>
        <w:t xml:space="preserve"> </w:t>
      </w:r>
      <w:r>
        <w:rPr>
          <w:i/>
          <w:iCs/>
        </w:rPr>
        <w:t>Id</w:t>
      </w:r>
      <w:r>
        <w:rPr>
          <w:i/>
        </w:rPr>
        <w:t>.</w:t>
      </w:r>
      <w:r>
        <w:t xml:space="preserve"> at 31–33.</w:t>
      </w:r>
    </w:p>
  </w:footnote>
  <w:footnote w:id="259">
    <w:p w14:paraId="55B8FB48" w14:textId="77777777" w:rsidR="00A75C8E" w:rsidRDefault="004C556B">
      <w:pPr>
        <w:pStyle w:val="FootnoteText"/>
      </w:pPr>
      <w:r w:rsidRPr="00711863">
        <w:rPr>
          <w:rStyle w:val="FootnoteCharacters"/>
        </w:rPr>
        <w:footnoteRef/>
      </w:r>
      <w:r>
        <w:t xml:space="preserve"> </w:t>
      </w:r>
      <w:r>
        <w:rPr>
          <w:i/>
          <w:iCs/>
        </w:rPr>
        <w:t>Id.</w:t>
      </w:r>
      <w:r>
        <w:t xml:space="preserve"> at 32–33.</w:t>
      </w:r>
    </w:p>
  </w:footnote>
  <w:footnote w:id="260">
    <w:p w14:paraId="348CD971" w14:textId="77777777" w:rsidR="00A75C8E" w:rsidRDefault="004C556B">
      <w:pPr>
        <w:pStyle w:val="FootnoteText"/>
      </w:pPr>
      <w:r w:rsidRPr="00711863">
        <w:rPr>
          <w:rStyle w:val="FootnoteCharacters"/>
        </w:rPr>
        <w:footnoteRef/>
      </w:r>
      <w:r>
        <w:t xml:space="preserve"> </w:t>
      </w:r>
      <w:r>
        <w:rPr>
          <w:i/>
          <w:iCs/>
        </w:rPr>
        <w:t>Id</w:t>
      </w:r>
      <w:r>
        <w:rPr>
          <w:i/>
        </w:rPr>
        <w:t>.</w:t>
      </w:r>
      <w:r>
        <w:t xml:space="preserve"> at 29–31.</w:t>
      </w:r>
    </w:p>
  </w:footnote>
  <w:footnote w:id="261">
    <w:p w14:paraId="1A7E8730" w14:textId="77777777" w:rsidR="00A75C8E" w:rsidRDefault="004C556B">
      <w:pPr>
        <w:pStyle w:val="FootnoteText"/>
      </w:pPr>
      <w:r w:rsidRPr="00711863">
        <w:rPr>
          <w:rStyle w:val="FootnoteCharacters"/>
        </w:rPr>
        <w:footnoteRef/>
      </w:r>
      <w:r>
        <w:t xml:space="preserve"> </w:t>
      </w:r>
      <w:r>
        <w:rPr>
          <w:i/>
          <w:iCs/>
        </w:rPr>
        <w:t>Id</w:t>
      </w:r>
      <w:r>
        <w:rPr>
          <w:i/>
        </w:rPr>
        <w:t>.</w:t>
      </w:r>
    </w:p>
  </w:footnote>
  <w:footnote w:id="262">
    <w:p w14:paraId="03150CB1" w14:textId="77777777" w:rsidR="00A75C8E" w:rsidRDefault="004C556B">
      <w:pPr>
        <w:pStyle w:val="FootnoteText"/>
      </w:pPr>
      <w:r w:rsidRPr="00711863">
        <w:rPr>
          <w:rStyle w:val="FootnoteCharacters"/>
        </w:rPr>
        <w:footnoteRef/>
      </w:r>
      <w:r>
        <w:t xml:space="preserve"> Complaint, New York Times Co. v. Microsoft Corp., No. 1:23-cv-11195-JSR (S.D.N.Y. Dec. 27, 2023) (alleging copyright infringement based on use of Times articles in AI training datasets).</w:t>
      </w:r>
    </w:p>
  </w:footnote>
  <w:footnote w:id="263">
    <w:p w14:paraId="59948404" w14:textId="77777777" w:rsidR="00A75C8E" w:rsidRDefault="004C556B">
      <w:pPr>
        <w:pStyle w:val="FootnoteText"/>
      </w:pPr>
      <w:r w:rsidRPr="00711863">
        <w:rPr>
          <w:rStyle w:val="FootnoteCharacters"/>
        </w:rPr>
        <w:footnoteRef/>
      </w:r>
      <w:r>
        <w:t xml:space="preserve"> </w:t>
      </w:r>
      <w:r>
        <w:rPr>
          <w:i/>
          <w:iCs/>
        </w:rPr>
        <w:t>Id.</w:t>
      </w:r>
    </w:p>
  </w:footnote>
  <w:footnote w:id="264">
    <w:p w14:paraId="3199839E" w14:textId="77777777" w:rsidR="00A75C8E" w:rsidRDefault="004C556B">
      <w:pPr>
        <w:pStyle w:val="FootnoteText"/>
      </w:pPr>
      <w:r w:rsidRPr="00711863">
        <w:rPr>
          <w:rStyle w:val="FootnoteCharacters"/>
        </w:rPr>
        <w:footnoteRef/>
      </w:r>
      <w:r>
        <w:t xml:space="preserve"> </w:t>
      </w:r>
      <w:r>
        <w:rPr>
          <w:i/>
        </w:rPr>
        <w:t>New York Times</w:t>
      </w:r>
      <w:r>
        <w:t>, 777 F. Supp. 3d at 283.</w:t>
      </w:r>
    </w:p>
  </w:footnote>
  <w:footnote w:id="265">
    <w:p w14:paraId="695B2009" w14:textId="77777777" w:rsidR="00A75C8E" w:rsidRDefault="004C556B">
      <w:pPr>
        <w:pStyle w:val="FootnoteText"/>
      </w:pPr>
      <w:r w:rsidRPr="00711863">
        <w:rPr>
          <w:rStyle w:val="FootnoteCharacters"/>
        </w:rPr>
        <w:footnoteRef/>
      </w:r>
      <w:r>
        <w:t xml:space="preserve"> </w:t>
      </w:r>
      <w:r>
        <w:rPr>
          <w:i/>
          <w:iCs/>
        </w:rPr>
        <w:t>Id</w:t>
      </w:r>
      <w:r>
        <w:rPr>
          <w:i/>
        </w:rPr>
        <w:t>.</w:t>
      </w:r>
      <w:r>
        <w:t xml:space="preserve"> at 309–19.</w:t>
      </w:r>
    </w:p>
  </w:footnote>
  <w:footnote w:id="266">
    <w:p w14:paraId="67E8D8BA" w14:textId="77777777" w:rsidR="00A75C8E" w:rsidRDefault="004C556B">
      <w:pPr>
        <w:pStyle w:val="FootnoteText"/>
      </w:pPr>
      <w:r w:rsidRPr="00711863">
        <w:rPr>
          <w:rStyle w:val="FootnoteCharacters"/>
        </w:rPr>
        <w:footnoteRef/>
      </w:r>
      <w:r>
        <w:t xml:space="preserve"> </w:t>
      </w:r>
      <w:r>
        <w:rPr>
          <w:i/>
          <w:iCs/>
        </w:rPr>
        <w:t>Id</w:t>
      </w:r>
      <w:r>
        <w:rPr>
          <w:i/>
        </w:rPr>
        <w:t>.</w:t>
      </w:r>
      <w:r>
        <w:t xml:space="preserve"> at 314–15.</w:t>
      </w:r>
    </w:p>
  </w:footnote>
  <w:footnote w:id="267">
    <w:p w14:paraId="6ACF4124" w14:textId="77777777" w:rsidR="00A75C8E" w:rsidRDefault="004C556B">
      <w:pPr>
        <w:pStyle w:val="FootnoteText"/>
      </w:pPr>
      <w:r w:rsidRPr="00711863">
        <w:rPr>
          <w:rStyle w:val="FootnoteCharacters"/>
        </w:rPr>
        <w:footnoteRef/>
      </w:r>
      <w:r>
        <w:t xml:space="preserve"> </w:t>
      </w:r>
      <w:r>
        <w:rPr>
          <w:i/>
          <w:iCs/>
        </w:rPr>
        <w:t>Id</w:t>
      </w:r>
      <w:r>
        <w:rPr>
          <w:i/>
        </w:rPr>
        <w:t>.</w:t>
      </w:r>
      <w:r>
        <w:t xml:space="preserve"> at 315.</w:t>
      </w:r>
    </w:p>
  </w:footnote>
  <w:footnote w:id="268">
    <w:p w14:paraId="2C02FFA9" w14:textId="77777777" w:rsidR="00A75C8E" w:rsidRDefault="004C556B">
      <w:pPr>
        <w:pStyle w:val="FootnoteText"/>
      </w:pPr>
      <w:r w:rsidRPr="00711863">
        <w:rPr>
          <w:rStyle w:val="FootnoteCharacters"/>
        </w:rPr>
        <w:footnoteRef/>
      </w:r>
      <w:r>
        <w:t xml:space="preserve"> </w:t>
      </w:r>
      <w:r>
        <w:rPr>
          <w:i/>
          <w:iCs/>
        </w:rPr>
        <w:t xml:space="preserve">See </w:t>
      </w:r>
      <w:proofErr w:type="gramStart"/>
      <w:r>
        <w:rPr>
          <w:i/>
          <w:iCs/>
        </w:rPr>
        <w:t>supra</w:t>
      </w:r>
      <w:r>
        <w:t xml:space="preserve"> Section</w:t>
      </w:r>
      <w:proofErr w:type="gramEnd"/>
      <w:r>
        <w:t xml:space="preserve"> 8.2.1.</w:t>
      </w:r>
    </w:p>
  </w:footnote>
  <w:footnote w:id="269">
    <w:p w14:paraId="0A16BA5C" w14:textId="77777777" w:rsidR="00A75C8E" w:rsidRDefault="004C556B">
      <w:pPr>
        <w:pStyle w:val="FootnoteText"/>
      </w:pPr>
      <w:r w:rsidRPr="00711863">
        <w:rPr>
          <w:rStyle w:val="FootnoteCharacters"/>
        </w:rPr>
        <w:footnoteRef/>
      </w:r>
      <w:r>
        <w:t xml:space="preserve"> </w:t>
      </w:r>
      <w:r>
        <w:rPr>
          <w:i/>
          <w:iCs/>
        </w:rPr>
        <w:t xml:space="preserve">See </w:t>
      </w:r>
      <w:proofErr w:type="gramStart"/>
      <w:r>
        <w:rPr>
          <w:i/>
          <w:iCs/>
        </w:rPr>
        <w:t>supra</w:t>
      </w:r>
      <w:r>
        <w:t xml:space="preserve"> Section</w:t>
      </w:r>
      <w:proofErr w:type="gramEnd"/>
      <w:r>
        <w:t xml:space="preserve"> 8.2.2.</w:t>
      </w:r>
    </w:p>
  </w:footnote>
  <w:footnote w:id="270">
    <w:p w14:paraId="24F8053C" w14:textId="77777777" w:rsidR="00A75C8E" w:rsidRDefault="004C556B">
      <w:pPr>
        <w:pStyle w:val="FootnoteText"/>
      </w:pPr>
      <w:r w:rsidRPr="00711863">
        <w:rPr>
          <w:rStyle w:val="FootnoteCharacters"/>
        </w:rPr>
        <w:footnoteRef/>
      </w:r>
      <w:r>
        <w:t xml:space="preserve"> </w:t>
      </w:r>
      <w:r>
        <w:rPr>
          <w:i/>
          <w:iCs/>
        </w:rPr>
        <w:t xml:space="preserve">See </w:t>
      </w:r>
      <w:proofErr w:type="gramStart"/>
      <w:r>
        <w:rPr>
          <w:i/>
          <w:iCs/>
        </w:rPr>
        <w:t>supra</w:t>
      </w:r>
      <w:r>
        <w:t xml:space="preserve"> Section</w:t>
      </w:r>
      <w:proofErr w:type="gramEnd"/>
      <w:r>
        <w:t xml:space="preserve"> 8.2.3.</w:t>
      </w:r>
    </w:p>
  </w:footnote>
  <w:footnote w:id="271">
    <w:p w14:paraId="59ED8FE9" w14:textId="77777777" w:rsidR="00A75C8E" w:rsidRDefault="004C556B">
      <w:pPr>
        <w:pStyle w:val="FootnoteText"/>
      </w:pPr>
      <w:r w:rsidRPr="00711863">
        <w:rPr>
          <w:rStyle w:val="FootnoteCharacters"/>
        </w:rPr>
        <w:footnoteRef/>
      </w:r>
      <w:r>
        <w:t xml:space="preserve"> </w:t>
      </w:r>
      <w:proofErr w:type="spellStart"/>
      <w:r>
        <w:rPr>
          <w:i/>
          <w:iCs/>
        </w:rPr>
        <w:t>HathiTrust</w:t>
      </w:r>
      <w:proofErr w:type="spellEnd"/>
      <w:r>
        <w:t>, 755 F.3d at 95.</w:t>
      </w:r>
    </w:p>
  </w:footnote>
  <w:footnote w:id="272">
    <w:p w14:paraId="09B6B191" w14:textId="77777777" w:rsidR="00A75C8E" w:rsidRDefault="004C556B">
      <w:pPr>
        <w:pStyle w:val="FootnoteText"/>
      </w:pPr>
      <w:r w:rsidRPr="00711863">
        <w:rPr>
          <w:rStyle w:val="FootnoteCharacters"/>
        </w:rPr>
        <w:footnoteRef/>
      </w:r>
      <w:r>
        <w:t xml:space="preserve"> </w:t>
      </w:r>
      <w:r>
        <w:rPr>
          <w:i/>
          <w:iCs/>
        </w:rPr>
        <w:t>Google Books</w:t>
      </w:r>
      <w:r>
        <w:t>, 804 F.3d at 212.</w:t>
      </w:r>
    </w:p>
  </w:footnote>
  <w:footnote w:id="273">
    <w:p w14:paraId="40C6CBF0" w14:textId="77777777" w:rsidR="00A75C8E" w:rsidRDefault="004C556B">
      <w:pPr>
        <w:pStyle w:val="FootnoteText"/>
      </w:pPr>
      <w:r w:rsidRPr="00711863">
        <w:rPr>
          <w:rStyle w:val="FootnoteCharacters"/>
        </w:rPr>
        <w:footnoteRef/>
      </w:r>
      <w:r>
        <w:t xml:space="preserve"> </w:t>
      </w:r>
      <w:r>
        <w:rPr>
          <w:i/>
        </w:rPr>
        <w:t>Google v. Oracle</w:t>
      </w:r>
      <w:r>
        <w:t>, 593 U.S. at 3.</w:t>
      </w:r>
    </w:p>
  </w:footnote>
  <w:footnote w:id="274">
    <w:p w14:paraId="258A7BDF" w14:textId="77777777" w:rsidR="00A75C8E" w:rsidRDefault="004C556B">
      <w:pPr>
        <w:pStyle w:val="FootnoteText"/>
      </w:pPr>
      <w:r w:rsidRPr="00711863">
        <w:rPr>
          <w:rStyle w:val="FootnoteCharacters"/>
        </w:rPr>
        <w:footnoteRef/>
      </w:r>
      <w:r>
        <w:t xml:space="preserve"> </w:t>
      </w:r>
      <w:r>
        <w:rPr>
          <w:i/>
          <w:iCs/>
        </w:rPr>
        <w:t>Id</w:t>
      </w:r>
      <w:r>
        <w:rPr>
          <w:i/>
        </w:rPr>
        <w:t>.</w:t>
      </w:r>
    </w:p>
  </w:footnote>
  <w:footnote w:id="275">
    <w:p w14:paraId="4CBEF101" w14:textId="77777777" w:rsidR="00A75C8E" w:rsidRDefault="004C556B">
      <w:pPr>
        <w:pStyle w:val="FootnoteText"/>
      </w:pPr>
      <w:r w:rsidRPr="00711863">
        <w:rPr>
          <w:rStyle w:val="FootnoteCharacters"/>
        </w:rPr>
        <w:footnoteRef/>
      </w:r>
      <w:r>
        <w:t xml:space="preserve"> </w:t>
      </w:r>
      <w:r>
        <w:rPr>
          <w:i/>
          <w:iCs/>
        </w:rPr>
        <w:t xml:space="preserve">See </w:t>
      </w:r>
      <w:proofErr w:type="gramStart"/>
      <w:r>
        <w:rPr>
          <w:i/>
          <w:iCs/>
        </w:rPr>
        <w:t>supra</w:t>
      </w:r>
      <w:r>
        <w:t xml:space="preserve"> Section</w:t>
      </w:r>
      <w:proofErr w:type="gramEnd"/>
      <w:r>
        <w:t xml:space="preserve"> 8.3.3.</w:t>
      </w:r>
    </w:p>
  </w:footnote>
  <w:footnote w:id="276">
    <w:p w14:paraId="543088C8" w14:textId="77777777" w:rsidR="00A75C8E" w:rsidRDefault="004C556B">
      <w:pPr>
        <w:pStyle w:val="FootnoteText"/>
      </w:pPr>
      <w:r w:rsidRPr="00711863">
        <w:rPr>
          <w:rStyle w:val="FootnoteCharacters"/>
        </w:rPr>
        <w:footnoteRef/>
      </w:r>
      <w:r>
        <w:t xml:space="preserve"> Bartz v. Anthropic PBC, 787 F. Supp. 3d 1007, 1019 (N.D. Cal. 2025). The court did not grant summary judgment with regard to the books that defendant had pirated, rather than purchased. </w:t>
      </w:r>
      <w:r>
        <w:rPr>
          <w:i/>
          <w:iCs/>
        </w:rPr>
        <w:t>Id</w:t>
      </w:r>
      <w:r>
        <w:rPr>
          <w:i/>
        </w:rPr>
        <w:t>.</w:t>
      </w:r>
      <w:r>
        <w:t xml:space="preserve"> at 1033–34.</w:t>
      </w:r>
    </w:p>
  </w:footnote>
  <w:footnote w:id="277">
    <w:p w14:paraId="64FC3D31" w14:textId="77777777" w:rsidR="00A75C8E" w:rsidRDefault="004C556B">
      <w:pPr>
        <w:pStyle w:val="FootnoteText"/>
      </w:pPr>
      <w:r w:rsidRPr="00711863">
        <w:rPr>
          <w:rStyle w:val="FootnoteCharacters"/>
        </w:rPr>
        <w:footnoteRef/>
      </w:r>
      <w:r>
        <w:t xml:space="preserve"> </w:t>
      </w:r>
      <w:r>
        <w:rPr>
          <w:i/>
          <w:iCs/>
        </w:rPr>
        <w:t xml:space="preserve">See </w:t>
      </w:r>
      <w:proofErr w:type="gramStart"/>
      <w:r>
        <w:rPr>
          <w:i/>
          <w:iCs/>
        </w:rPr>
        <w:t>supra</w:t>
      </w:r>
      <w:r>
        <w:t xml:space="preserve"> Section</w:t>
      </w:r>
      <w:proofErr w:type="gramEnd"/>
      <w:r>
        <w:t xml:space="preserve"> 8.3.4.</w:t>
      </w:r>
    </w:p>
  </w:footnote>
  <w:footnote w:id="278">
    <w:p w14:paraId="3BC46727" w14:textId="77777777" w:rsidR="00A75C8E" w:rsidRDefault="004C556B">
      <w:pPr>
        <w:pStyle w:val="FootnoteText"/>
      </w:pPr>
      <w:r w:rsidRPr="00711863">
        <w:rPr>
          <w:rStyle w:val="FootnoteCharacters"/>
        </w:rPr>
        <w:footnoteRef/>
      </w:r>
      <w:r>
        <w:t xml:space="preserve"> </w:t>
      </w:r>
      <w:proofErr w:type="spellStart"/>
      <w:r>
        <w:t>Kadrey</w:t>
      </w:r>
      <w:proofErr w:type="spellEnd"/>
      <w:r>
        <w:t xml:space="preserve"> v. Meta Platforms, Inc., 788 F. Supp. 3d 1026, 1036 (N.D. Cal. 2025). For full quote, </w:t>
      </w:r>
      <w:r>
        <w:rPr>
          <w:i/>
          <w:iCs/>
        </w:rPr>
        <w:t>see supra</w:t>
      </w:r>
      <w:r>
        <w:t xml:space="preserve"> note 227 and accompanying text.</w:t>
      </w:r>
    </w:p>
  </w:footnote>
  <w:footnote w:id="279">
    <w:p w14:paraId="78B621A6" w14:textId="77777777" w:rsidR="00A75C8E" w:rsidRDefault="004C556B">
      <w:pPr>
        <w:pStyle w:val="FootnoteText"/>
      </w:pPr>
      <w:r w:rsidRPr="00711863">
        <w:rPr>
          <w:rStyle w:val="FootnoteCharacters"/>
        </w:rPr>
        <w:footnoteRef/>
      </w:r>
      <w:r>
        <w:t xml:space="preserve"> </w:t>
      </w:r>
      <w:r>
        <w:rPr>
          <w:i/>
          <w:iCs/>
        </w:rPr>
        <w:t xml:space="preserve">See </w:t>
      </w:r>
      <w:proofErr w:type="gramStart"/>
      <w:r>
        <w:rPr>
          <w:i/>
          <w:iCs/>
        </w:rPr>
        <w:t>supra</w:t>
      </w:r>
      <w:r>
        <w:t xml:space="preserve"> Section</w:t>
      </w:r>
      <w:proofErr w:type="gramEnd"/>
      <w:r>
        <w:t xml:space="preserve"> 8.2.4.</w:t>
      </w:r>
    </w:p>
  </w:footnote>
  <w:footnote w:id="280">
    <w:p w14:paraId="7E35DF60" w14:textId="77777777" w:rsidR="00A75C8E" w:rsidRDefault="004C556B">
      <w:pPr>
        <w:pStyle w:val="FootnoteText"/>
      </w:pPr>
      <w:r w:rsidRPr="00711863">
        <w:rPr>
          <w:rStyle w:val="FootnoteCharacters"/>
        </w:rPr>
        <w:footnoteRef/>
      </w:r>
      <w:r>
        <w:t xml:space="preserve"> Thomson Reuters Enter. Centre GmbH v. Ross Intel., Inc., 765 F. Supp. 3d 382, 397–99 (D. Del. 2025), </w:t>
      </w:r>
      <w:r>
        <w:rPr>
          <w:i/>
          <w:iCs/>
        </w:rPr>
        <w:t>appeal docketed</w:t>
      </w:r>
      <w:r>
        <w:t>, No. 25-8018 (3d Cir. Apr. 14, 2025).</w:t>
      </w:r>
    </w:p>
  </w:footnote>
  <w:footnote w:id="281">
    <w:p w14:paraId="73C772AA" w14:textId="77777777" w:rsidR="00A75C8E" w:rsidRDefault="004C556B">
      <w:pPr>
        <w:pStyle w:val="FootnoteText"/>
      </w:pPr>
      <w:r w:rsidRPr="00711863">
        <w:rPr>
          <w:rStyle w:val="FootnoteCharacters"/>
        </w:rPr>
        <w:footnoteRef/>
      </w:r>
      <w:r>
        <w:t xml:space="preserve"> </w:t>
      </w:r>
      <w:r>
        <w:rPr>
          <w:i/>
          <w:iCs/>
        </w:rPr>
        <w:t xml:space="preserve">See </w:t>
      </w:r>
      <w:proofErr w:type="gramStart"/>
      <w:r>
        <w:rPr>
          <w:i/>
          <w:iCs/>
        </w:rPr>
        <w:t>supra</w:t>
      </w:r>
      <w:r>
        <w:t xml:space="preserve"> Section</w:t>
      </w:r>
      <w:proofErr w:type="gramEnd"/>
      <w:r>
        <w:t xml:space="preserve"> 8.3.6.</w:t>
      </w:r>
    </w:p>
  </w:footnote>
  <w:footnote w:id="282">
    <w:p w14:paraId="4586C949" w14:textId="77777777" w:rsidR="00A75C8E" w:rsidRDefault="004C556B">
      <w:pPr>
        <w:pStyle w:val="FootnoteText"/>
      </w:pPr>
      <w:r w:rsidRPr="00711863">
        <w:rPr>
          <w:rStyle w:val="FootnoteCharacters"/>
        </w:rPr>
        <w:footnoteRef/>
      </w:r>
      <w:r>
        <w:t xml:space="preserve"> Pamela Samuelson, </w:t>
      </w:r>
      <w:r>
        <w:rPr>
          <w:i/>
          <w:iCs/>
        </w:rPr>
        <w:t>Fair Use Defenses in Disruptive Technology Cases</w:t>
      </w:r>
      <w:r>
        <w:t xml:space="preserve">, 71 </w:t>
      </w:r>
      <w:r>
        <w:rPr>
          <w:smallCaps/>
        </w:rPr>
        <w:t>UCLA L. Rev.</w:t>
      </w:r>
      <w:r>
        <w:t xml:space="preserve"> 1484, 1563 (2024).</w:t>
      </w:r>
    </w:p>
  </w:footnote>
  <w:footnote w:id="283">
    <w:p w14:paraId="5EE4D427" w14:textId="77777777" w:rsidR="00A75C8E" w:rsidRDefault="004C556B">
      <w:pPr>
        <w:pStyle w:val="FootnoteText"/>
      </w:pPr>
      <w:r w:rsidRPr="00711863">
        <w:rPr>
          <w:rStyle w:val="FootnoteCharacters"/>
        </w:rPr>
        <w:footnoteRef/>
      </w:r>
      <w:r>
        <w:t xml:space="preserve"> </w:t>
      </w:r>
      <w:r>
        <w:rPr>
          <w:i/>
          <w:iCs/>
        </w:rPr>
        <w:t>Id</w:t>
      </w:r>
      <w:r>
        <w:rPr>
          <w:i/>
        </w:rPr>
        <w:t>.</w:t>
      </w:r>
      <w:r>
        <w:t xml:space="preserve"> at 1563.</w:t>
      </w:r>
    </w:p>
  </w:footnote>
  <w:footnote w:id="284">
    <w:p w14:paraId="0BABC5D2" w14:textId="77777777" w:rsidR="00A75C8E" w:rsidRDefault="004C556B">
      <w:pPr>
        <w:pStyle w:val="FootnoteText"/>
      </w:pPr>
      <w:r w:rsidRPr="00711863">
        <w:rPr>
          <w:rStyle w:val="FootnoteCharacters"/>
        </w:rPr>
        <w:footnoteRef/>
      </w:r>
      <w:r>
        <w:t xml:space="preserve"> </w:t>
      </w:r>
      <w:r>
        <w:rPr>
          <w:i/>
          <w:iCs/>
        </w:rPr>
        <w:t>Id</w:t>
      </w:r>
      <w:r>
        <w:rPr>
          <w:i/>
        </w:rPr>
        <w:t>.</w:t>
      </w:r>
      <w:r>
        <w:t xml:space="preserve"> at 1570.</w:t>
      </w:r>
    </w:p>
  </w:footnote>
  <w:footnote w:id="285">
    <w:p w14:paraId="57D0C11C" w14:textId="77777777" w:rsidR="00A75C8E" w:rsidRDefault="004C556B">
      <w:pPr>
        <w:pStyle w:val="FootnoteText"/>
      </w:pPr>
      <w:r w:rsidRPr="00711863">
        <w:rPr>
          <w:rStyle w:val="FootnoteCharacters"/>
        </w:rPr>
        <w:footnoteRef/>
      </w:r>
      <w:r>
        <w:t xml:space="preserve"> </w:t>
      </w:r>
      <w:r>
        <w:rPr>
          <w:i/>
          <w:iCs/>
        </w:rPr>
        <w:t>Id</w:t>
      </w:r>
      <w:r>
        <w:rPr>
          <w:i/>
        </w:rPr>
        <w:t>.</w:t>
      </w:r>
      <w:r>
        <w:t xml:space="preserve"> at 1563.</w:t>
      </w:r>
    </w:p>
  </w:footnote>
  <w:footnote w:id="286">
    <w:p w14:paraId="7E8D355F" w14:textId="77777777" w:rsidR="00A75C8E" w:rsidRDefault="004C556B">
      <w:pPr>
        <w:pStyle w:val="FootnoteText"/>
      </w:pPr>
      <w:r w:rsidRPr="00711863">
        <w:rPr>
          <w:rStyle w:val="FootnoteCharacters"/>
        </w:rPr>
        <w:footnoteRef/>
      </w:r>
      <w:r>
        <w:t xml:space="preserve"> </w:t>
      </w:r>
      <w:r>
        <w:rPr>
          <w:i/>
          <w:iCs/>
        </w:rPr>
        <w:t>Id</w:t>
      </w:r>
      <w:r>
        <w:rPr>
          <w:i/>
        </w:rPr>
        <w:t>.</w:t>
      </w:r>
      <w:r>
        <w:t xml:space="preserve"> at 1564.</w:t>
      </w:r>
    </w:p>
  </w:footnote>
  <w:footnote w:id="287">
    <w:p w14:paraId="0A45746D" w14:textId="77777777" w:rsidR="00A75C8E" w:rsidRDefault="004C556B">
      <w:pPr>
        <w:pStyle w:val="FootnoteText"/>
      </w:pPr>
      <w:r w:rsidRPr="00711863">
        <w:rPr>
          <w:rStyle w:val="FootnoteCharacters"/>
        </w:rPr>
        <w:footnoteRef/>
      </w:r>
      <w:r>
        <w:t xml:space="preserve"> </w:t>
      </w:r>
      <w:r>
        <w:rPr>
          <w:i/>
          <w:iCs/>
        </w:rPr>
        <w:t>Id</w:t>
      </w:r>
      <w:r>
        <w:rPr>
          <w:i/>
        </w:rPr>
        <w:t>.</w:t>
      </w:r>
      <w:r>
        <w:t xml:space="preserve"> at 1572.</w:t>
      </w:r>
    </w:p>
  </w:footnote>
  <w:footnote w:id="288">
    <w:p w14:paraId="25903744" w14:textId="77777777" w:rsidR="00A75C8E" w:rsidRDefault="004C556B">
      <w:pPr>
        <w:pStyle w:val="FootnoteText"/>
      </w:pPr>
      <w:r w:rsidRPr="00711863">
        <w:rPr>
          <w:rStyle w:val="FootnoteCharacters"/>
        </w:rPr>
        <w:footnoteRef/>
      </w:r>
      <w:r>
        <w:t xml:space="preserve"> Cooper &amp; </w:t>
      </w:r>
      <w:proofErr w:type="spellStart"/>
      <w:r>
        <w:t>Grimmelmann</w:t>
      </w:r>
      <w:proofErr w:type="spellEnd"/>
      <w:r>
        <w:t xml:space="preserve">, </w:t>
      </w:r>
      <w:r>
        <w:rPr>
          <w:i/>
          <w:iCs/>
        </w:rPr>
        <w:t>supra</w:t>
      </w:r>
      <w:r>
        <w:t xml:space="preserve"> note 161, at 169.</w:t>
      </w:r>
    </w:p>
  </w:footnote>
  <w:footnote w:id="289">
    <w:p w14:paraId="28A4F1FD" w14:textId="77777777" w:rsidR="00A75C8E" w:rsidRDefault="004C556B">
      <w:pPr>
        <w:pStyle w:val="FootnoteText"/>
      </w:pPr>
      <w:r w:rsidRPr="00711863">
        <w:rPr>
          <w:rStyle w:val="FootnoteCharacters"/>
        </w:rPr>
        <w:footnoteRef/>
      </w:r>
      <w:r>
        <w:t xml:space="preserve"> Sag, </w:t>
      </w:r>
      <w:r>
        <w:rPr>
          <w:i/>
          <w:iCs/>
        </w:rPr>
        <w:t>supra</w:t>
      </w:r>
      <w:r>
        <w:t xml:space="preserve"> note 128, at 1899 n.72.</w:t>
      </w:r>
    </w:p>
  </w:footnote>
  <w:footnote w:id="290">
    <w:p w14:paraId="5AE438EC" w14:textId="77777777" w:rsidR="00A75C8E" w:rsidRDefault="004C556B">
      <w:pPr>
        <w:pStyle w:val="FootnoteText"/>
      </w:pPr>
      <w:r w:rsidRPr="00711863">
        <w:rPr>
          <w:rStyle w:val="FootnoteCharacters"/>
        </w:rPr>
        <w:footnoteRef/>
      </w:r>
      <w:r>
        <w:t xml:space="preserve"> Sag, </w:t>
      </w:r>
      <w:r>
        <w:rPr>
          <w:i/>
          <w:iCs/>
        </w:rPr>
        <w:t>supra</w:t>
      </w:r>
      <w:r>
        <w:t xml:space="preserve"> note 163, at 343. For full quote, </w:t>
      </w:r>
      <w:r>
        <w:rPr>
          <w:i/>
          <w:iCs/>
        </w:rPr>
        <w:t>see supra</w:t>
      </w:r>
      <w:r>
        <w:t xml:space="preserve"> note 163 and accompanying text.</w:t>
      </w:r>
    </w:p>
  </w:footnote>
  <w:footnote w:id="291">
    <w:p w14:paraId="0068908D" w14:textId="77777777" w:rsidR="00A75C8E" w:rsidRDefault="004C556B">
      <w:pPr>
        <w:pStyle w:val="FootnoteText"/>
      </w:pPr>
      <w:r w:rsidRPr="00711863">
        <w:rPr>
          <w:rStyle w:val="FootnoteCharacters"/>
        </w:rPr>
        <w:footnoteRef/>
      </w:r>
      <w:r>
        <w:t xml:space="preserve"> Sag, </w:t>
      </w:r>
      <w:r>
        <w:rPr>
          <w:i/>
        </w:rPr>
        <w:t>supra</w:t>
      </w:r>
      <w:r>
        <w:t xml:space="preserve"> note 128, </w:t>
      </w:r>
      <w:proofErr w:type="gramStart"/>
      <w:r>
        <w:t>at</w:t>
      </w:r>
      <w:proofErr w:type="gramEnd"/>
      <w:r>
        <w:t xml:space="preserve"> 1920.</w:t>
      </w:r>
    </w:p>
  </w:footnote>
  <w:footnote w:id="292">
    <w:p w14:paraId="467E2A65" w14:textId="77777777" w:rsidR="00A75C8E" w:rsidRDefault="004C556B">
      <w:pPr>
        <w:pStyle w:val="FootnoteText"/>
      </w:pPr>
      <w:r w:rsidRPr="00711863">
        <w:rPr>
          <w:rStyle w:val="FootnoteCharacters"/>
        </w:rPr>
        <w:footnoteRef/>
      </w:r>
      <w:r>
        <w:t xml:space="preserve"> Lemley &amp; Casey, </w:t>
      </w:r>
      <w:r>
        <w:rPr>
          <w:i/>
          <w:iCs/>
        </w:rPr>
        <w:t>supra</w:t>
      </w:r>
      <w:r>
        <w:t xml:space="preserve"> note 148, at 772. For full quote, </w:t>
      </w:r>
      <w:r>
        <w:rPr>
          <w:i/>
          <w:iCs/>
        </w:rPr>
        <w:t>see supra</w:t>
      </w:r>
      <w:r>
        <w:t xml:space="preserve"> note 148 and accompanying text.</w:t>
      </w:r>
    </w:p>
  </w:footnote>
  <w:footnote w:id="293">
    <w:p w14:paraId="712D2EDF" w14:textId="77777777" w:rsidR="00A75C8E" w:rsidRDefault="004C556B">
      <w:pPr>
        <w:pStyle w:val="FootnoteText"/>
      </w:pPr>
      <w:r w:rsidRPr="00711863">
        <w:rPr>
          <w:rStyle w:val="FootnoteCharacters"/>
        </w:rPr>
        <w:footnoteRef/>
      </w:r>
      <w:r>
        <w:t xml:space="preserve"> </w:t>
      </w:r>
      <w:r>
        <w:rPr>
          <w:i/>
          <w:iCs/>
        </w:rPr>
        <w:t>Id</w:t>
      </w:r>
      <w:r>
        <w:rPr>
          <w:i/>
        </w:rPr>
        <w:t>.</w:t>
      </w:r>
      <w:r>
        <w:t xml:space="preserve"> at 776.</w:t>
      </w:r>
    </w:p>
  </w:footnote>
  <w:footnote w:id="294">
    <w:p w14:paraId="6D6C027E" w14:textId="77777777" w:rsidR="00A75C8E" w:rsidRDefault="004C556B">
      <w:pPr>
        <w:pStyle w:val="FootnoteText"/>
      </w:pPr>
      <w:r w:rsidRPr="00711863">
        <w:rPr>
          <w:rStyle w:val="FootnoteCharacters"/>
        </w:rPr>
        <w:footnoteRef/>
      </w:r>
      <w:r>
        <w:t xml:space="preserve"> </w:t>
      </w:r>
      <w:r>
        <w:rPr>
          <w:i/>
          <w:iCs/>
        </w:rPr>
        <w:t>See</w:t>
      </w:r>
      <w:r>
        <w:t xml:space="preserve"> </w:t>
      </w:r>
      <w:r>
        <w:rPr>
          <w:smallCaps/>
        </w:rPr>
        <w:t>Copyright Office: Part 3</w:t>
      </w:r>
      <w:r>
        <w:t xml:space="preserve">, </w:t>
      </w:r>
      <w:r>
        <w:rPr>
          <w:i/>
          <w:iCs/>
        </w:rPr>
        <w:t>supra</w:t>
      </w:r>
      <w:r>
        <w:t xml:space="preserve"> note 1, at 85–106 (discussing licensing).</w:t>
      </w:r>
    </w:p>
  </w:footnote>
  <w:footnote w:id="295">
    <w:p w14:paraId="63A881C0" w14:textId="77777777" w:rsidR="00A75C8E" w:rsidRDefault="004C556B">
      <w:pPr>
        <w:pStyle w:val="FootnoteText"/>
      </w:pPr>
      <w:r w:rsidRPr="00711863">
        <w:rPr>
          <w:rStyle w:val="FootnoteCharacters"/>
        </w:rPr>
        <w:footnoteRef/>
      </w:r>
      <w:r>
        <w:t xml:space="preserve"> This issue has yet to be resolved. </w:t>
      </w:r>
      <w:r>
        <w:rPr>
          <w:i/>
        </w:rPr>
        <w:t>Compare</w:t>
      </w:r>
      <w:r>
        <w:t xml:space="preserve"> the harsh result for pirated works in </w:t>
      </w:r>
      <w:r>
        <w:rPr>
          <w:i/>
          <w:iCs/>
        </w:rPr>
        <w:t>Bartz</w:t>
      </w:r>
      <w:r>
        <w:t xml:space="preserve"> </w:t>
      </w:r>
      <w:r>
        <w:rPr>
          <w:i/>
        </w:rPr>
        <w:t>with</w:t>
      </w:r>
      <w:r>
        <w:t xml:space="preserve"> </w:t>
      </w:r>
      <w:proofErr w:type="spellStart"/>
      <w:r>
        <w:rPr>
          <w:i/>
          <w:iCs/>
        </w:rPr>
        <w:t>Kadrey</w:t>
      </w:r>
      <w:r>
        <w:t>’s</w:t>
      </w:r>
      <w:proofErr w:type="spellEnd"/>
      <w:r>
        <w:t xml:space="preserve"> observation that “[t]o say that Meta’s downloading was ‘piracy’ and thus cannot be fair use begs the question because the whole point of fair use analysis is to determine whether a given act of copying was unlawful.” </w:t>
      </w:r>
      <w:proofErr w:type="spellStart"/>
      <w:r>
        <w:t>Kadrey</w:t>
      </w:r>
      <w:proofErr w:type="spellEnd"/>
      <w:r>
        <w:t xml:space="preserve"> v. Meta Platforms, Inc., 788 F. Supp. 3d 1026, 1046 (N.D. Cal. 2025); </w:t>
      </w:r>
      <w:r>
        <w:rPr>
          <w:i/>
          <w:iCs/>
        </w:rPr>
        <w:t xml:space="preserve">see </w:t>
      </w:r>
      <w:proofErr w:type="gramStart"/>
      <w:r>
        <w:rPr>
          <w:i/>
          <w:iCs/>
        </w:rPr>
        <w:t>supra</w:t>
      </w:r>
      <w:r>
        <w:t xml:space="preserve"> Sections</w:t>
      </w:r>
      <w:proofErr w:type="gramEnd"/>
      <w:r>
        <w:t xml:space="preserve"> 8.3.3 and 8.3.4.</w:t>
      </w:r>
    </w:p>
  </w:footnote>
  <w:footnote w:id="296">
    <w:p w14:paraId="528684D5" w14:textId="77777777" w:rsidR="00A75C8E" w:rsidRDefault="004C556B">
      <w:pPr>
        <w:pStyle w:val="FootnoteText"/>
      </w:pPr>
      <w:r w:rsidRPr="00711863">
        <w:rPr>
          <w:rStyle w:val="FootnoteCharacters"/>
        </w:rPr>
        <w:footnoteRef/>
      </w:r>
      <w:r>
        <w:t xml:space="preserve"> </w:t>
      </w:r>
      <w:r>
        <w:rPr>
          <w:i/>
          <w:iCs/>
        </w:rPr>
        <w:t xml:space="preserve">See </w:t>
      </w:r>
      <w:proofErr w:type="gramStart"/>
      <w:r>
        <w:rPr>
          <w:i/>
          <w:iCs/>
        </w:rPr>
        <w:t>supra</w:t>
      </w:r>
      <w:r>
        <w:t xml:space="preserve"> Section</w:t>
      </w:r>
      <w:proofErr w:type="gramEnd"/>
      <w:r>
        <w:t xml:space="preserve"> 8.1.5.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13DD" w14:textId="77777777" w:rsidR="00A75C8E" w:rsidRDefault="00A75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B424" w14:textId="77777777" w:rsidR="00A75C8E" w:rsidRDefault="00A75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E3FE" w14:textId="77777777" w:rsidR="00A75C8E" w:rsidRDefault="00A75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97434"/>
    <w:multiLevelType w:val="multilevel"/>
    <w:tmpl w:val="7B34E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E27A4"/>
    <w:multiLevelType w:val="multilevel"/>
    <w:tmpl w:val="F26E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97BA6"/>
    <w:multiLevelType w:val="multilevel"/>
    <w:tmpl w:val="AAC8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802AD"/>
    <w:multiLevelType w:val="hybridMultilevel"/>
    <w:tmpl w:val="4F7E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876DC5"/>
    <w:multiLevelType w:val="hybridMultilevel"/>
    <w:tmpl w:val="34F4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4B0CCC"/>
    <w:multiLevelType w:val="multilevel"/>
    <w:tmpl w:val="652E2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875D56"/>
    <w:multiLevelType w:val="multilevel"/>
    <w:tmpl w:val="DE00281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B31030"/>
    <w:multiLevelType w:val="multilevel"/>
    <w:tmpl w:val="6D9E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A96D1B"/>
    <w:multiLevelType w:val="multilevel"/>
    <w:tmpl w:val="EB2E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409826">
    <w:abstractNumId w:val="1"/>
  </w:num>
  <w:num w:numId="2" w16cid:durableId="2138058262">
    <w:abstractNumId w:val="5"/>
  </w:num>
  <w:num w:numId="3" w16cid:durableId="1941333519">
    <w:abstractNumId w:val="0"/>
  </w:num>
  <w:num w:numId="4" w16cid:durableId="606153903">
    <w:abstractNumId w:val="7"/>
  </w:num>
  <w:num w:numId="5" w16cid:durableId="710421900">
    <w:abstractNumId w:val="8"/>
  </w:num>
  <w:num w:numId="6" w16cid:durableId="1391004076">
    <w:abstractNumId w:val="2"/>
  </w:num>
  <w:num w:numId="7" w16cid:durableId="1832259664">
    <w:abstractNumId w:val="3"/>
  </w:num>
  <w:num w:numId="8" w16cid:durableId="873807066">
    <w:abstractNumId w:val="4"/>
  </w:num>
  <w:num w:numId="9" w16cid:durableId="1953128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8E"/>
    <w:rsid w:val="00002020"/>
    <w:rsid w:val="000038A6"/>
    <w:rsid w:val="0000481F"/>
    <w:rsid w:val="000050E9"/>
    <w:rsid w:val="00010DB5"/>
    <w:rsid w:val="00012045"/>
    <w:rsid w:val="000121C2"/>
    <w:rsid w:val="00012AD9"/>
    <w:rsid w:val="00014EC6"/>
    <w:rsid w:val="00026C2F"/>
    <w:rsid w:val="00033362"/>
    <w:rsid w:val="00034DDB"/>
    <w:rsid w:val="00040812"/>
    <w:rsid w:val="00040A9E"/>
    <w:rsid w:val="000432A9"/>
    <w:rsid w:val="00043585"/>
    <w:rsid w:val="000445EC"/>
    <w:rsid w:val="000446CD"/>
    <w:rsid w:val="00044F2D"/>
    <w:rsid w:val="00045753"/>
    <w:rsid w:val="000473DB"/>
    <w:rsid w:val="000500C3"/>
    <w:rsid w:val="00051951"/>
    <w:rsid w:val="00054F4D"/>
    <w:rsid w:val="00055F33"/>
    <w:rsid w:val="000571BD"/>
    <w:rsid w:val="0006092E"/>
    <w:rsid w:val="00062A88"/>
    <w:rsid w:val="0006466D"/>
    <w:rsid w:val="00064FB3"/>
    <w:rsid w:val="00065323"/>
    <w:rsid w:val="00065BB3"/>
    <w:rsid w:val="00066F02"/>
    <w:rsid w:val="00067D4C"/>
    <w:rsid w:val="0007011F"/>
    <w:rsid w:val="00070847"/>
    <w:rsid w:val="00071A8E"/>
    <w:rsid w:val="000754F6"/>
    <w:rsid w:val="00080528"/>
    <w:rsid w:val="00082FCE"/>
    <w:rsid w:val="00085288"/>
    <w:rsid w:val="00090B07"/>
    <w:rsid w:val="000912BA"/>
    <w:rsid w:val="00091B19"/>
    <w:rsid w:val="00095B73"/>
    <w:rsid w:val="00097C61"/>
    <w:rsid w:val="000A1060"/>
    <w:rsid w:val="000A1935"/>
    <w:rsid w:val="000A2466"/>
    <w:rsid w:val="000B13D8"/>
    <w:rsid w:val="000B252D"/>
    <w:rsid w:val="000B4B18"/>
    <w:rsid w:val="000B4BA4"/>
    <w:rsid w:val="000B57D2"/>
    <w:rsid w:val="000B7B66"/>
    <w:rsid w:val="000C19C1"/>
    <w:rsid w:val="000C20B7"/>
    <w:rsid w:val="000C7E42"/>
    <w:rsid w:val="000D4577"/>
    <w:rsid w:val="000D4BC5"/>
    <w:rsid w:val="000D5B56"/>
    <w:rsid w:val="000D6BAD"/>
    <w:rsid w:val="000E019B"/>
    <w:rsid w:val="000E140B"/>
    <w:rsid w:val="000E1A90"/>
    <w:rsid w:val="000E29F2"/>
    <w:rsid w:val="000E4300"/>
    <w:rsid w:val="000E470A"/>
    <w:rsid w:val="000E4EC8"/>
    <w:rsid w:val="000E61B9"/>
    <w:rsid w:val="000E7881"/>
    <w:rsid w:val="000F15DF"/>
    <w:rsid w:val="000F212A"/>
    <w:rsid w:val="000F2B6A"/>
    <w:rsid w:val="000F3CA9"/>
    <w:rsid w:val="000F4087"/>
    <w:rsid w:val="000F525B"/>
    <w:rsid w:val="00101059"/>
    <w:rsid w:val="0010188E"/>
    <w:rsid w:val="00101FB6"/>
    <w:rsid w:val="00104350"/>
    <w:rsid w:val="001072A2"/>
    <w:rsid w:val="00110957"/>
    <w:rsid w:val="00116FC9"/>
    <w:rsid w:val="00121D6D"/>
    <w:rsid w:val="0012237F"/>
    <w:rsid w:val="00122C71"/>
    <w:rsid w:val="0012573B"/>
    <w:rsid w:val="001261DC"/>
    <w:rsid w:val="00127A70"/>
    <w:rsid w:val="00127AA2"/>
    <w:rsid w:val="001320D9"/>
    <w:rsid w:val="00133165"/>
    <w:rsid w:val="001331C8"/>
    <w:rsid w:val="001337FD"/>
    <w:rsid w:val="001340D8"/>
    <w:rsid w:val="00134420"/>
    <w:rsid w:val="00141BBB"/>
    <w:rsid w:val="00142F98"/>
    <w:rsid w:val="00143BD4"/>
    <w:rsid w:val="00143EA1"/>
    <w:rsid w:val="001452AC"/>
    <w:rsid w:val="00146A08"/>
    <w:rsid w:val="00147A68"/>
    <w:rsid w:val="00152235"/>
    <w:rsid w:val="00152BC3"/>
    <w:rsid w:val="001546EA"/>
    <w:rsid w:val="00162F9F"/>
    <w:rsid w:val="00166180"/>
    <w:rsid w:val="00166191"/>
    <w:rsid w:val="0016751B"/>
    <w:rsid w:val="00167571"/>
    <w:rsid w:val="00170464"/>
    <w:rsid w:val="00171ED5"/>
    <w:rsid w:val="001749A7"/>
    <w:rsid w:val="001749C4"/>
    <w:rsid w:val="00175638"/>
    <w:rsid w:val="00181664"/>
    <w:rsid w:val="00184B2C"/>
    <w:rsid w:val="00187282"/>
    <w:rsid w:val="00190A85"/>
    <w:rsid w:val="00190B89"/>
    <w:rsid w:val="0019554F"/>
    <w:rsid w:val="001978E3"/>
    <w:rsid w:val="001A0818"/>
    <w:rsid w:val="001A6D03"/>
    <w:rsid w:val="001A7CCE"/>
    <w:rsid w:val="001B0977"/>
    <w:rsid w:val="001B2572"/>
    <w:rsid w:val="001B3171"/>
    <w:rsid w:val="001C005C"/>
    <w:rsid w:val="001C0841"/>
    <w:rsid w:val="001C0E38"/>
    <w:rsid w:val="001C1240"/>
    <w:rsid w:val="001C2971"/>
    <w:rsid w:val="001C693C"/>
    <w:rsid w:val="001C72BC"/>
    <w:rsid w:val="001C7468"/>
    <w:rsid w:val="001D08A1"/>
    <w:rsid w:val="001D0CDB"/>
    <w:rsid w:val="001D23AB"/>
    <w:rsid w:val="001D23AE"/>
    <w:rsid w:val="001D3A08"/>
    <w:rsid w:val="001D3D13"/>
    <w:rsid w:val="001D50B9"/>
    <w:rsid w:val="001D58EA"/>
    <w:rsid w:val="001D5BE0"/>
    <w:rsid w:val="001D5EFC"/>
    <w:rsid w:val="001D643F"/>
    <w:rsid w:val="001D6F1D"/>
    <w:rsid w:val="001D771E"/>
    <w:rsid w:val="001E09D8"/>
    <w:rsid w:val="001E4A01"/>
    <w:rsid w:val="001E75FC"/>
    <w:rsid w:val="001F18DD"/>
    <w:rsid w:val="001F2B82"/>
    <w:rsid w:val="001F431A"/>
    <w:rsid w:val="001F48D5"/>
    <w:rsid w:val="001F5191"/>
    <w:rsid w:val="001F5451"/>
    <w:rsid w:val="00200304"/>
    <w:rsid w:val="0020194E"/>
    <w:rsid w:val="002023B2"/>
    <w:rsid w:val="00203513"/>
    <w:rsid w:val="00204B2E"/>
    <w:rsid w:val="00207542"/>
    <w:rsid w:val="00213323"/>
    <w:rsid w:val="002134E2"/>
    <w:rsid w:val="0021552F"/>
    <w:rsid w:val="00216088"/>
    <w:rsid w:val="002259AD"/>
    <w:rsid w:val="002264B1"/>
    <w:rsid w:val="00226E0D"/>
    <w:rsid w:val="002305EF"/>
    <w:rsid w:val="002322AD"/>
    <w:rsid w:val="00234EC1"/>
    <w:rsid w:val="00235CB2"/>
    <w:rsid w:val="00240C7F"/>
    <w:rsid w:val="00243761"/>
    <w:rsid w:val="00247329"/>
    <w:rsid w:val="0025130C"/>
    <w:rsid w:val="00251322"/>
    <w:rsid w:val="002522EC"/>
    <w:rsid w:val="0025295E"/>
    <w:rsid w:val="0025536A"/>
    <w:rsid w:val="00256E53"/>
    <w:rsid w:val="00262307"/>
    <w:rsid w:val="002649F3"/>
    <w:rsid w:val="00264DB3"/>
    <w:rsid w:val="002658B1"/>
    <w:rsid w:val="002660CC"/>
    <w:rsid w:val="002670BD"/>
    <w:rsid w:val="00267790"/>
    <w:rsid w:val="00270DDC"/>
    <w:rsid w:val="002724AD"/>
    <w:rsid w:val="00273902"/>
    <w:rsid w:val="002741BD"/>
    <w:rsid w:val="002753E2"/>
    <w:rsid w:val="00275EF0"/>
    <w:rsid w:val="002769DB"/>
    <w:rsid w:val="002772E5"/>
    <w:rsid w:val="0027742C"/>
    <w:rsid w:val="0027775F"/>
    <w:rsid w:val="00282A5E"/>
    <w:rsid w:val="00284C74"/>
    <w:rsid w:val="002877AD"/>
    <w:rsid w:val="00290CD6"/>
    <w:rsid w:val="002938AC"/>
    <w:rsid w:val="002A400B"/>
    <w:rsid w:val="002B174F"/>
    <w:rsid w:val="002B1896"/>
    <w:rsid w:val="002B2966"/>
    <w:rsid w:val="002B35EF"/>
    <w:rsid w:val="002C04C4"/>
    <w:rsid w:val="002C0F8D"/>
    <w:rsid w:val="002C136A"/>
    <w:rsid w:val="002C1BBC"/>
    <w:rsid w:val="002C2172"/>
    <w:rsid w:val="002C49B8"/>
    <w:rsid w:val="002C4A12"/>
    <w:rsid w:val="002D5866"/>
    <w:rsid w:val="002D6005"/>
    <w:rsid w:val="002D7ECC"/>
    <w:rsid w:val="002E0430"/>
    <w:rsid w:val="002E2014"/>
    <w:rsid w:val="002E3018"/>
    <w:rsid w:val="002E37BB"/>
    <w:rsid w:val="002E5F75"/>
    <w:rsid w:val="002E6D67"/>
    <w:rsid w:val="002E7D90"/>
    <w:rsid w:val="002F04E7"/>
    <w:rsid w:val="002F60B8"/>
    <w:rsid w:val="002F7602"/>
    <w:rsid w:val="00300572"/>
    <w:rsid w:val="00301A33"/>
    <w:rsid w:val="00302716"/>
    <w:rsid w:val="00302D63"/>
    <w:rsid w:val="00305EC9"/>
    <w:rsid w:val="00314091"/>
    <w:rsid w:val="0031478F"/>
    <w:rsid w:val="0031494B"/>
    <w:rsid w:val="00317EC5"/>
    <w:rsid w:val="00320AA4"/>
    <w:rsid w:val="00321A17"/>
    <w:rsid w:val="003220D3"/>
    <w:rsid w:val="0032273A"/>
    <w:rsid w:val="00324529"/>
    <w:rsid w:val="00324A41"/>
    <w:rsid w:val="00326225"/>
    <w:rsid w:val="0033075F"/>
    <w:rsid w:val="00331372"/>
    <w:rsid w:val="003332EF"/>
    <w:rsid w:val="00334413"/>
    <w:rsid w:val="003350BF"/>
    <w:rsid w:val="00335456"/>
    <w:rsid w:val="00335C54"/>
    <w:rsid w:val="00343B12"/>
    <w:rsid w:val="00344818"/>
    <w:rsid w:val="00344DAF"/>
    <w:rsid w:val="00345B83"/>
    <w:rsid w:val="0034715F"/>
    <w:rsid w:val="00350770"/>
    <w:rsid w:val="0035536C"/>
    <w:rsid w:val="003565E3"/>
    <w:rsid w:val="00360424"/>
    <w:rsid w:val="0036088A"/>
    <w:rsid w:val="0036106B"/>
    <w:rsid w:val="00362DE3"/>
    <w:rsid w:val="0036498D"/>
    <w:rsid w:val="003654F8"/>
    <w:rsid w:val="003660F9"/>
    <w:rsid w:val="00366372"/>
    <w:rsid w:val="0037010E"/>
    <w:rsid w:val="00372CF9"/>
    <w:rsid w:val="003730F6"/>
    <w:rsid w:val="00375905"/>
    <w:rsid w:val="00376114"/>
    <w:rsid w:val="00376D9C"/>
    <w:rsid w:val="00380016"/>
    <w:rsid w:val="00380142"/>
    <w:rsid w:val="00380345"/>
    <w:rsid w:val="003814CB"/>
    <w:rsid w:val="00386626"/>
    <w:rsid w:val="00386674"/>
    <w:rsid w:val="003908EB"/>
    <w:rsid w:val="00392B0A"/>
    <w:rsid w:val="00392DEE"/>
    <w:rsid w:val="00393D43"/>
    <w:rsid w:val="00396371"/>
    <w:rsid w:val="00397411"/>
    <w:rsid w:val="003A12BD"/>
    <w:rsid w:val="003A45BB"/>
    <w:rsid w:val="003A7C16"/>
    <w:rsid w:val="003B066B"/>
    <w:rsid w:val="003B2C76"/>
    <w:rsid w:val="003B495D"/>
    <w:rsid w:val="003B5BBB"/>
    <w:rsid w:val="003C0E2B"/>
    <w:rsid w:val="003C5A44"/>
    <w:rsid w:val="003C6BA9"/>
    <w:rsid w:val="003D0D51"/>
    <w:rsid w:val="003D2920"/>
    <w:rsid w:val="003D4AAF"/>
    <w:rsid w:val="003D62AA"/>
    <w:rsid w:val="003D7EF8"/>
    <w:rsid w:val="003E1544"/>
    <w:rsid w:val="003E1795"/>
    <w:rsid w:val="003E22FC"/>
    <w:rsid w:val="003E34FC"/>
    <w:rsid w:val="003E3F42"/>
    <w:rsid w:val="003E429E"/>
    <w:rsid w:val="003E5ED6"/>
    <w:rsid w:val="003F0BB6"/>
    <w:rsid w:val="003F154F"/>
    <w:rsid w:val="003F2120"/>
    <w:rsid w:val="003F2846"/>
    <w:rsid w:val="003F3885"/>
    <w:rsid w:val="003F497B"/>
    <w:rsid w:val="003F565C"/>
    <w:rsid w:val="003F5797"/>
    <w:rsid w:val="0040028D"/>
    <w:rsid w:val="00400FFD"/>
    <w:rsid w:val="00401E02"/>
    <w:rsid w:val="00401F08"/>
    <w:rsid w:val="00402637"/>
    <w:rsid w:val="004051E7"/>
    <w:rsid w:val="00405E92"/>
    <w:rsid w:val="00407697"/>
    <w:rsid w:val="00407FDC"/>
    <w:rsid w:val="004105C2"/>
    <w:rsid w:val="00411DFE"/>
    <w:rsid w:val="004123E7"/>
    <w:rsid w:val="0041277E"/>
    <w:rsid w:val="00413DE7"/>
    <w:rsid w:val="0041426F"/>
    <w:rsid w:val="004178D1"/>
    <w:rsid w:val="00417A94"/>
    <w:rsid w:val="00420491"/>
    <w:rsid w:val="00421276"/>
    <w:rsid w:val="0042401D"/>
    <w:rsid w:val="0042631A"/>
    <w:rsid w:val="00431158"/>
    <w:rsid w:val="00431D1D"/>
    <w:rsid w:val="004413FA"/>
    <w:rsid w:val="00442C96"/>
    <w:rsid w:val="00442EFC"/>
    <w:rsid w:val="00443096"/>
    <w:rsid w:val="0044337C"/>
    <w:rsid w:val="0044382F"/>
    <w:rsid w:val="00443DB7"/>
    <w:rsid w:val="00444623"/>
    <w:rsid w:val="00446054"/>
    <w:rsid w:val="00450FB0"/>
    <w:rsid w:val="00451EF5"/>
    <w:rsid w:val="0045267F"/>
    <w:rsid w:val="004532E3"/>
    <w:rsid w:val="0045632D"/>
    <w:rsid w:val="004574D3"/>
    <w:rsid w:val="0046081C"/>
    <w:rsid w:val="00462A24"/>
    <w:rsid w:val="00463D40"/>
    <w:rsid w:val="0046487E"/>
    <w:rsid w:val="004662B5"/>
    <w:rsid w:val="00471F41"/>
    <w:rsid w:val="00472616"/>
    <w:rsid w:val="0047296C"/>
    <w:rsid w:val="00476954"/>
    <w:rsid w:val="004770B4"/>
    <w:rsid w:val="00481785"/>
    <w:rsid w:val="00485319"/>
    <w:rsid w:val="00485DB9"/>
    <w:rsid w:val="00490D51"/>
    <w:rsid w:val="00492565"/>
    <w:rsid w:val="00495CFE"/>
    <w:rsid w:val="004A28A2"/>
    <w:rsid w:val="004A4A50"/>
    <w:rsid w:val="004A6634"/>
    <w:rsid w:val="004B0AF1"/>
    <w:rsid w:val="004B3FF8"/>
    <w:rsid w:val="004B4B35"/>
    <w:rsid w:val="004C0114"/>
    <w:rsid w:val="004C1860"/>
    <w:rsid w:val="004C2F41"/>
    <w:rsid w:val="004C556B"/>
    <w:rsid w:val="004C5B32"/>
    <w:rsid w:val="004C68E1"/>
    <w:rsid w:val="004C7881"/>
    <w:rsid w:val="004D0CFD"/>
    <w:rsid w:val="004D2D55"/>
    <w:rsid w:val="004D39D4"/>
    <w:rsid w:val="004D5D19"/>
    <w:rsid w:val="004E2234"/>
    <w:rsid w:val="004E2A2F"/>
    <w:rsid w:val="004E47FD"/>
    <w:rsid w:val="004E5146"/>
    <w:rsid w:val="004E58C1"/>
    <w:rsid w:val="004E6998"/>
    <w:rsid w:val="004F0DB1"/>
    <w:rsid w:val="004F43F7"/>
    <w:rsid w:val="004F56FF"/>
    <w:rsid w:val="004F6299"/>
    <w:rsid w:val="0050216F"/>
    <w:rsid w:val="0051155F"/>
    <w:rsid w:val="005124BA"/>
    <w:rsid w:val="005128C6"/>
    <w:rsid w:val="005129D6"/>
    <w:rsid w:val="00514763"/>
    <w:rsid w:val="00515FB2"/>
    <w:rsid w:val="00517F6C"/>
    <w:rsid w:val="00523460"/>
    <w:rsid w:val="00526B6C"/>
    <w:rsid w:val="00526DC3"/>
    <w:rsid w:val="005307A4"/>
    <w:rsid w:val="00531151"/>
    <w:rsid w:val="00531E25"/>
    <w:rsid w:val="005323D6"/>
    <w:rsid w:val="00532F58"/>
    <w:rsid w:val="00535DE9"/>
    <w:rsid w:val="005361F6"/>
    <w:rsid w:val="0054450B"/>
    <w:rsid w:val="00552859"/>
    <w:rsid w:val="00560877"/>
    <w:rsid w:val="00561584"/>
    <w:rsid w:val="00561D5D"/>
    <w:rsid w:val="0056346F"/>
    <w:rsid w:val="00564432"/>
    <w:rsid w:val="005677DD"/>
    <w:rsid w:val="0057024A"/>
    <w:rsid w:val="00570AA5"/>
    <w:rsid w:val="005725B0"/>
    <w:rsid w:val="00572A62"/>
    <w:rsid w:val="00573359"/>
    <w:rsid w:val="00573DF6"/>
    <w:rsid w:val="0058008F"/>
    <w:rsid w:val="00583A55"/>
    <w:rsid w:val="005840EA"/>
    <w:rsid w:val="00585F24"/>
    <w:rsid w:val="00586145"/>
    <w:rsid w:val="00590F8D"/>
    <w:rsid w:val="00591D77"/>
    <w:rsid w:val="00593DA4"/>
    <w:rsid w:val="00594F7F"/>
    <w:rsid w:val="0059505C"/>
    <w:rsid w:val="00597729"/>
    <w:rsid w:val="00597F8C"/>
    <w:rsid w:val="005A264C"/>
    <w:rsid w:val="005A3CEC"/>
    <w:rsid w:val="005B1187"/>
    <w:rsid w:val="005B3B87"/>
    <w:rsid w:val="005B62D5"/>
    <w:rsid w:val="005B72E7"/>
    <w:rsid w:val="005B7D7A"/>
    <w:rsid w:val="005C24F9"/>
    <w:rsid w:val="005C2B35"/>
    <w:rsid w:val="005C3ABF"/>
    <w:rsid w:val="005C5DE4"/>
    <w:rsid w:val="005C5EFC"/>
    <w:rsid w:val="005D056F"/>
    <w:rsid w:val="005D13BF"/>
    <w:rsid w:val="005D3756"/>
    <w:rsid w:val="005D749D"/>
    <w:rsid w:val="005D7C97"/>
    <w:rsid w:val="005E05D7"/>
    <w:rsid w:val="005E0E3D"/>
    <w:rsid w:val="005E1C3C"/>
    <w:rsid w:val="005E2CD8"/>
    <w:rsid w:val="005F0C82"/>
    <w:rsid w:val="005F1CF0"/>
    <w:rsid w:val="005F2A34"/>
    <w:rsid w:val="005F330C"/>
    <w:rsid w:val="005F3BE2"/>
    <w:rsid w:val="005F4C7A"/>
    <w:rsid w:val="005F52BE"/>
    <w:rsid w:val="005F7D45"/>
    <w:rsid w:val="006011AC"/>
    <w:rsid w:val="006024F5"/>
    <w:rsid w:val="00603129"/>
    <w:rsid w:val="00604E62"/>
    <w:rsid w:val="00611F5C"/>
    <w:rsid w:val="0061227D"/>
    <w:rsid w:val="00613BEE"/>
    <w:rsid w:val="00614BDE"/>
    <w:rsid w:val="00614D76"/>
    <w:rsid w:val="00616C45"/>
    <w:rsid w:val="00617474"/>
    <w:rsid w:val="00617F0B"/>
    <w:rsid w:val="00621722"/>
    <w:rsid w:val="006223EF"/>
    <w:rsid w:val="00624150"/>
    <w:rsid w:val="006241EE"/>
    <w:rsid w:val="006255B8"/>
    <w:rsid w:val="00625837"/>
    <w:rsid w:val="00626B63"/>
    <w:rsid w:val="00627A9C"/>
    <w:rsid w:val="0063050C"/>
    <w:rsid w:val="00634725"/>
    <w:rsid w:val="00635643"/>
    <w:rsid w:val="006374F6"/>
    <w:rsid w:val="006424E5"/>
    <w:rsid w:val="0064770F"/>
    <w:rsid w:val="006537C1"/>
    <w:rsid w:val="00653EC5"/>
    <w:rsid w:val="00655EA1"/>
    <w:rsid w:val="0065726A"/>
    <w:rsid w:val="00663EC5"/>
    <w:rsid w:val="00664D5E"/>
    <w:rsid w:val="00667807"/>
    <w:rsid w:val="006716FB"/>
    <w:rsid w:val="006732BA"/>
    <w:rsid w:val="00674D07"/>
    <w:rsid w:val="00676C75"/>
    <w:rsid w:val="006829CD"/>
    <w:rsid w:val="006830AE"/>
    <w:rsid w:val="00684DE9"/>
    <w:rsid w:val="00684F08"/>
    <w:rsid w:val="006867E3"/>
    <w:rsid w:val="006905CD"/>
    <w:rsid w:val="00690E28"/>
    <w:rsid w:val="00691C5B"/>
    <w:rsid w:val="006932F7"/>
    <w:rsid w:val="006938FF"/>
    <w:rsid w:val="006958EF"/>
    <w:rsid w:val="00697001"/>
    <w:rsid w:val="006A0E80"/>
    <w:rsid w:val="006A3E7E"/>
    <w:rsid w:val="006A675B"/>
    <w:rsid w:val="006A6E03"/>
    <w:rsid w:val="006B2C0E"/>
    <w:rsid w:val="006B340A"/>
    <w:rsid w:val="006B34BA"/>
    <w:rsid w:val="006B4AAF"/>
    <w:rsid w:val="006C144E"/>
    <w:rsid w:val="006C1B56"/>
    <w:rsid w:val="006C2F3D"/>
    <w:rsid w:val="006C4803"/>
    <w:rsid w:val="006C6631"/>
    <w:rsid w:val="006C69DB"/>
    <w:rsid w:val="006C6E51"/>
    <w:rsid w:val="006D00DF"/>
    <w:rsid w:val="006D074B"/>
    <w:rsid w:val="006D213A"/>
    <w:rsid w:val="006D2364"/>
    <w:rsid w:val="006D6527"/>
    <w:rsid w:val="006D6B7F"/>
    <w:rsid w:val="006E06D9"/>
    <w:rsid w:val="006E1860"/>
    <w:rsid w:val="006E1FFA"/>
    <w:rsid w:val="006F17C3"/>
    <w:rsid w:val="006F21BE"/>
    <w:rsid w:val="006F2E69"/>
    <w:rsid w:val="006F6923"/>
    <w:rsid w:val="00703ABB"/>
    <w:rsid w:val="00705738"/>
    <w:rsid w:val="00705F11"/>
    <w:rsid w:val="00706F1A"/>
    <w:rsid w:val="00707899"/>
    <w:rsid w:val="00710116"/>
    <w:rsid w:val="00711863"/>
    <w:rsid w:val="00711C82"/>
    <w:rsid w:val="0071307B"/>
    <w:rsid w:val="00713120"/>
    <w:rsid w:val="00713756"/>
    <w:rsid w:val="00714C22"/>
    <w:rsid w:val="007153FC"/>
    <w:rsid w:val="00720193"/>
    <w:rsid w:val="00721936"/>
    <w:rsid w:val="0072271D"/>
    <w:rsid w:val="00724127"/>
    <w:rsid w:val="007250BD"/>
    <w:rsid w:val="00725536"/>
    <w:rsid w:val="0073026E"/>
    <w:rsid w:val="00733FBE"/>
    <w:rsid w:val="00736F9B"/>
    <w:rsid w:val="007427A6"/>
    <w:rsid w:val="00742B8C"/>
    <w:rsid w:val="007458CA"/>
    <w:rsid w:val="00745C39"/>
    <w:rsid w:val="00747C03"/>
    <w:rsid w:val="00747F2B"/>
    <w:rsid w:val="00752C0E"/>
    <w:rsid w:val="00752C88"/>
    <w:rsid w:val="00753616"/>
    <w:rsid w:val="0075423C"/>
    <w:rsid w:val="007568A7"/>
    <w:rsid w:val="00756A4E"/>
    <w:rsid w:val="00760421"/>
    <w:rsid w:val="00760E68"/>
    <w:rsid w:val="007617C5"/>
    <w:rsid w:val="007620B1"/>
    <w:rsid w:val="007629F1"/>
    <w:rsid w:val="00762AF2"/>
    <w:rsid w:val="007645B4"/>
    <w:rsid w:val="00764D69"/>
    <w:rsid w:val="00765F9A"/>
    <w:rsid w:val="00766D17"/>
    <w:rsid w:val="00766F9E"/>
    <w:rsid w:val="007721F1"/>
    <w:rsid w:val="0077709C"/>
    <w:rsid w:val="0078124D"/>
    <w:rsid w:val="007819A5"/>
    <w:rsid w:val="00783283"/>
    <w:rsid w:val="0078497B"/>
    <w:rsid w:val="00785EA0"/>
    <w:rsid w:val="007901E7"/>
    <w:rsid w:val="00790A69"/>
    <w:rsid w:val="007924D1"/>
    <w:rsid w:val="00792CA4"/>
    <w:rsid w:val="00792F84"/>
    <w:rsid w:val="0079357D"/>
    <w:rsid w:val="0079455B"/>
    <w:rsid w:val="00794BB3"/>
    <w:rsid w:val="007967B9"/>
    <w:rsid w:val="00797645"/>
    <w:rsid w:val="007A049F"/>
    <w:rsid w:val="007A2A16"/>
    <w:rsid w:val="007A358C"/>
    <w:rsid w:val="007B0806"/>
    <w:rsid w:val="007B1F7B"/>
    <w:rsid w:val="007B2D94"/>
    <w:rsid w:val="007B2FFB"/>
    <w:rsid w:val="007B3578"/>
    <w:rsid w:val="007B480F"/>
    <w:rsid w:val="007B5972"/>
    <w:rsid w:val="007B60C8"/>
    <w:rsid w:val="007B6138"/>
    <w:rsid w:val="007B7F0D"/>
    <w:rsid w:val="007C0D3C"/>
    <w:rsid w:val="007C4597"/>
    <w:rsid w:val="007C7960"/>
    <w:rsid w:val="007D0401"/>
    <w:rsid w:val="007D0D79"/>
    <w:rsid w:val="007D18D1"/>
    <w:rsid w:val="007D7234"/>
    <w:rsid w:val="007E0F5E"/>
    <w:rsid w:val="007E18F8"/>
    <w:rsid w:val="007E2507"/>
    <w:rsid w:val="007E497B"/>
    <w:rsid w:val="007E4A50"/>
    <w:rsid w:val="007E659F"/>
    <w:rsid w:val="007E6AC2"/>
    <w:rsid w:val="007E7333"/>
    <w:rsid w:val="007F48AB"/>
    <w:rsid w:val="00802126"/>
    <w:rsid w:val="00802CB3"/>
    <w:rsid w:val="0080504A"/>
    <w:rsid w:val="0081171F"/>
    <w:rsid w:val="00812EDF"/>
    <w:rsid w:val="008131CA"/>
    <w:rsid w:val="00813DC3"/>
    <w:rsid w:val="00816EA1"/>
    <w:rsid w:val="008170A0"/>
    <w:rsid w:val="00821019"/>
    <w:rsid w:val="00822D82"/>
    <w:rsid w:val="0082356E"/>
    <w:rsid w:val="00823652"/>
    <w:rsid w:val="0082781A"/>
    <w:rsid w:val="00834889"/>
    <w:rsid w:val="008372DB"/>
    <w:rsid w:val="00837B15"/>
    <w:rsid w:val="008413C7"/>
    <w:rsid w:val="00851C7E"/>
    <w:rsid w:val="00855205"/>
    <w:rsid w:val="00855C4C"/>
    <w:rsid w:val="00857FFB"/>
    <w:rsid w:val="00865FD7"/>
    <w:rsid w:val="00866F68"/>
    <w:rsid w:val="00867E14"/>
    <w:rsid w:val="00870275"/>
    <w:rsid w:val="00870D29"/>
    <w:rsid w:val="00871037"/>
    <w:rsid w:val="00871247"/>
    <w:rsid w:val="008748D3"/>
    <w:rsid w:val="00874A8C"/>
    <w:rsid w:val="008762AB"/>
    <w:rsid w:val="00880CB8"/>
    <w:rsid w:val="00881C1A"/>
    <w:rsid w:val="0088214C"/>
    <w:rsid w:val="008847CE"/>
    <w:rsid w:val="00884D26"/>
    <w:rsid w:val="00887DB5"/>
    <w:rsid w:val="00890922"/>
    <w:rsid w:val="00892DDA"/>
    <w:rsid w:val="00892F22"/>
    <w:rsid w:val="008937E1"/>
    <w:rsid w:val="0089612B"/>
    <w:rsid w:val="008A4398"/>
    <w:rsid w:val="008A5160"/>
    <w:rsid w:val="008A786B"/>
    <w:rsid w:val="008B14CA"/>
    <w:rsid w:val="008B1574"/>
    <w:rsid w:val="008B70C2"/>
    <w:rsid w:val="008B72BC"/>
    <w:rsid w:val="008C1F13"/>
    <w:rsid w:val="008C20FD"/>
    <w:rsid w:val="008C56B4"/>
    <w:rsid w:val="008C603D"/>
    <w:rsid w:val="008D317A"/>
    <w:rsid w:val="008D3956"/>
    <w:rsid w:val="008D4323"/>
    <w:rsid w:val="008D6381"/>
    <w:rsid w:val="008E10B2"/>
    <w:rsid w:val="008E3D90"/>
    <w:rsid w:val="008E608A"/>
    <w:rsid w:val="008E6DA3"/>
    <w:rsid w:val="008F05E5"/>
    <w:rsid w:val="008F129B"/>
    <w:rsid w:val="008F337C"/>
    <w:rsid w:val="008F3A85"/>
    <w:rsid w:val="009010CE"/>
    <w:rsid w:val="00901F5A"/>
    <w:rsid w:val="009026C6"/>
    <w:rsid w:val="00902D70"/>
    <w:rsid w:val="00905032"/>
    <w:rsid w:val="0090545B"/>
    <w:rsid w:val="00905AEF"/>
    <w:rsid w:val="00905B54"/>
    <w:rsid w:val="00906695"/>
    <w:rsid w:val="00906D03"/>
    <w:rsid w:val="00907F4D"/>
    <w:rsid w:val="00911021"/>
    <w:rsid w:val="00912801"/>
    <w:rsid w:val="00915136"/>
    <w:rsid w:val="009156DD"/>
    <w:rsid w:val="009159CD"/>
    <w:rsid w:val="009168CF"/>
    <w:rsid w:val="00921781"/>
    <w:rsid w:val="00922A70"/>
    <w:rsid w:val="00923CA2"/>
    <w:rsid w:val="00926BD7"/>
    <w:rsid w:val="00931757"/>
    <w:rsid w:val="009320F7"/>
    <w:rsid w:val="00932BED"/>
    <w:rsid w:val="009370B8"/>
    <w:rsid w:val="00937A26"/>
    <w:rsid w:val="00937B8E"/>
    <w:rsid w:val="00941C44"/>
    <w:rsid w:val="00943ECA"/>
    <w:rsid w:val="009451CA"/>
    <w:rsid w:val="00951E39"/>
    <w:rsid w:val="00952D3F"/>
    <w:rsid w:val="00953269"/>
    <w:rsid w:val="00953967"/>
    <w:rsid w:val="00955315"/>
    <w:rsid w:val="00956C1F"/>
    <w:rsid w:val="009626F4"/>
    <w:rsid w:val="00962CEE"/>
    <w:rsid w:val="00965B36"/>
    <w:rsid w:val="009701A5"/>
    <w:rsid w:val="009701EF"/>
    <w:rsid w:val="00972346"/>
    <w:rsid w:val="00975FB7"/>
    <w:rsid w:val="00984398"/>
    <w:rsid w:val="00985619"/>
    <w:rsid w:val="00986B2C"/>
    <w:rsid w:val="00986ED8"/>
    <w:rsid w:val="00990486"/>
    <w:rsid w:val="00991171"/>
    <w:rsid w:val="00992360"/>
    <w:rsid w:val="00995661"/>
    <w:rsid w:val="00995AEA"/>
    <w:rsid w:val="00996A10"/>
    <w:rsid w:val="009971A2"/>
    <w:rsid w:val="009976D4"/>
    <w:rsid w:val="009A1C20"/>
    <w:rsid w:val="009A22AC"/>
    <w:rsid w:val="009A3C88"/>
    <w:rsid w:val="009A4719"/>
    <w:rsid w:val="009A578D"/>
    <w:rsid w:val="009A6258"/>
    <w:rsid w:val="009A7B2A"/>
    <w:rsid w:val="009B1A74"/>
    <w:rsid w:val="009B29EB"/>
    <w:rsid w:val="009B59D4"/>
    <w:rsid w:val="009C04EA"/>
    <w:rsid w:val="009C0C16"/>
    <w:rsid w:val="009C0CB0"/>
    <w:rsid w:val="009D0CD5"/>
    <w:rsid w:val="009D437F"/>
    <w:rsid w:val="009D7F19"/>
    <w:rsid w:val="009E4846"/>
    <w:rsid w:val="009E5941"/>
    <w:rsid w:val="009E601C"/>
    <w:rsid w:val="009E60E8"/>
    <w:rsid w:val="009E6433"/>
    <w:rsid w:val="009F1C20"/>
    <w:rsid w:val="009F308E"/>
    <w:rsid w:val="009F3911"/>
    <w:rsid w:val="009F3D1A"/>
    <w:rsid w:val="00A02EAB"/>
    <w:rsid w:val="00A05906"/>
    <w:rsid w:val="00A07868"/>
    <w:rsid w:val="00A106BD"/>
    <w:rsid w:val="00A12EC6"/>
    <w:rsid w:val="00A13ED8"/>
    <w:rsid w:val="00A1519C"/>
    <w:rsid w:val="00A156AA"/>
    <w:rsid w:val="00A16285"/>
    <w:rsid w:val="00A20E22"/>
    <w:rsid w:val="00A21396"/>
    <w:rsid w:val="00A228CA"/>
    <w:rsid w:val="00A2646B"/>
    <w:rsid w:val="00A266CE"/>
    <w:rsid w:val="00A373CB"/>
    <w:rsid w:val="00A401C4"/>
    <w:rsid w:val="00A40A3C"/>
    <w:rsid w:val="00A45798"/>
    <w:rsid w:val="00A465EC"/>
    <w:rsid w:val="00A539BD"/>
    <w:rsid w:val="00A53BDF"/>
    <w:rsid w:val="00A61590"/>
    <w:rsid w:val="00A65436"/>
    <w:rsid w:val="00A67C65"/>
    <w:rsid w:val="00A72383"/>
    <w:rsid w:val="00A73FD0"/>
    <w:rsid w:val="00A75C8E"/>
    <w:rsid w:val="00A75E1B"/>
    <w:rsid w:val="00A77A49"/>
    <w:rsid w:val="00A80DFE"/>
    <w:rsid w:val="00A81706"/>
    <w:rsid w:val="00A82C0B"/>
    <w:rsid w:val="00A832CC"/>
    <w:rsid w:val="00A83C40"/>
    <w:rsid w:val="00A8422E"/>
    <w:rsid w:val="00A870F0"/>
    <w:rsid w:val="00A95CC5"/>
    <w:rsid w:val="00A96CCD"/>
    <w:rsid w:val="00AA1AEB"/>
    <w:rsid w:val="00AA2AA8"/>
    <w:rsid w:val="00AA31A6"/>
    <w:rsid w:val="00AA4105"/>
    <w:rsid w:val="00AA5F14"/>
    <w:rsid w:val="00AB30AB"/>
    <w:rsid w:val="00AB3C48"/>
    <w:rsid w:val="00AB5B2C"/>
    <w:rsid w:val="00AB6A00"/>
    <w:rsid w:val="00AC2661"/>
    <w:rsid w:val="00AC4754"/>
    <w:rsid w:val="00AC53F0"/>
    <w:rsid w:val="00AC68A8"/>
    <w:rsid w:val="00AC7E62"/>
    <w:rsid w:val="00AC7FB5"/>
    <w:rsid w:val="00AD0085"/>
    <w:rsid w:val="00AD0472"/>
    <w:rsid w:val="00AD048A"/>
    <w:rsid w:val="00AD15DC"/>
    <w:rsid w:val="00AD186D"/>
    <w:rsid w:val="00AD1A4B"/>
    <w:rsid w:val="00AD4760"/>
    <w:rsid w:val="00AE4D4E"/>
    <w:rsid w:val="00AE5E70"/>
    <w:rsid w:val="00AE658B"/>
    <w:rsid w:val="00AE6A25"/>
    <w:rsid w:val="00AF052A"/>
    <w:rsid w:val="00AF07FD"/>
    <w:rsid w:val="00AF4632"/>
    <w:rsid w:val="00AF6248"/>
    <w:rsid w:val="00AF7AD4"/>
    <w:rsid w:val="00B009C9"/>
    <w:rsid w:val="00B02372"/>
    <w:rsid w:val="00B03BFE"/>
    <w:rsid w:val="00B0432F"/>
    <w:rsid w:val="00B12490"/>
    <w:rsid w:val="00B1328C"/>
    <w:rsid w:val="00B14C06"/>
    <w:rsid w:val="00B15398"/>
    <w:rsid w:val="00B15CE5"/>
    <w:rsid w:val="00B17BD4"/>
    <w:rsid w:val="00B20DF8"/>
    <w:rsid w:val="00B21FB3"/>
    <w:rsid w:val="00B26ADC"/>
    <w:rsid w:val="00B31ED6"/>
    <w:rsid w:val="00B333FA"/>
    <w:rsid w:val="00B36F06"/>
    <w:rsid w:val="00B41FD1"/>
    <w:rsid w:val="00B45EF9"/>
    <w:rsid w:val="00B473AB"/>
    <w:rsid w:val="00B50286"/>
    <w:rsid w:val="00B50883"/>
    <w:rsid w:val="00B52DD0"/>
    <w:rsid w:val="00B52E42"/>
    <w:rsid w:val="00B54566"/>
    <w:rsid w:val="00B62169"/>
    <w:rsid w:val="00B635F7"/>
    <w:rsid w:val="00B64170"/>
    <w:rsid w:val="00B65E54"/>
    <w:rsid w:val="00B66705"/>
    <w:rsid w:val="00B70133"/>
    <w:rsid w:val="00B7064A"/>
    <w:rsid w:val="00B7372E"/>
    <w:rsid w:val="00B74BE6"/>
    <w:rsid w:val="00B75A7C"/>
    <w:rsid w:val="00B760DB"/>
    <w:rsid w:val="00B81F80"/>
    <w:rsid w:val="00B86AB1"/>
    <w:rsid w:val="00B95C1D"/>
    <w:rsid w:val="00B95D43"/>
    <w:rsid w:val="00B95E17"/>
    <w:rsid w:val="00B960FE"/>
    <w:rsid w:val="00BA0049"/>
    <w:rsid w:val="00BA09F4"/>
    <w:rsid w:val="00BA0C15"/>
    <w:rsid w:val="00BA38BD"/>
    <w:rsid w:val="00BA3B82"/>
    <w:rsid w:val="00BB072C"/>
    <w:rsid w:val="00BB2BE0"/>
    <w:rsid w:val="00BB2DBE"/>
    <w:rsid w:val="00BB31CB"/>
    <w:rsid w:val="00BB3E44"/>
    <w:rsid w:val="00BB4251"/>
    <w:rsid w:val="00BB5AF9"/>
    <w:rsid w:val="00BB61B7"/>
    <w:rsid w:val="00BB63F2"/>
    <w:rsid w:val="00BB6B58"/>
    <w:rsid w:val="00BC0244"/>
    <w:rsid w:val="00BC1033"/>
    <w:rsid w:val="00BC1105"/>
    <w:rsid w:val="00BC301B"/>
    <w:rsid w:val="00BC41E3"/>
    <w:rsid w:val="00BC7197"/>
    <w:rsid w:val="00BD4539"/>
    <w:rsid w:val="00BD6029"/>
    <w:rsid w:val="00BD6214"/>
    <w:rsid w:val="00BD6527"/>
    <w:rsid w:val="00BD7D6B"/>
    <w:rsid w:val="00BE0AAB"/>
    <w:rsid w:val="00BE43EE"/>
    <w:rsid w:val="00BE4FCF"/>
    <w:rsid w:val="00BE509D"/>
    <w:rsid w:val="00BE5EB1"/>
    <w:rsid w:val="00BE662E"/>
    <w:rsid w:val="00BE6C44"/>
    <w:rsid w:val="00BE707A"/>
    <w:rsid w:val="00BF19FD"/>
    <w:rsid w:val="00BF382A"/>
    <w:rsid w:val="00C007FE"/>
    <w:rsid w:val="00C01127"/>
    <w:rsid w:val="00C02E85"/>
    <w:rsid w:val="00C031FC"/>
    <w:rsid w:val="00C03336"/>
    <w:rsid w:val="00C03652"/>
    <w:rsid w:val="00C0388E"/>
    <w:rsid w:val="00C03C31"/>
    <w:rsid w:val="00C046FD"/>
    <w:rsid w:val="00C04976"/>
    <w:rsid w:val="00C05ECF"/>
    <w:rsid w:val="00C06794"/>
    <w:rsid w:val="00C10277"/>
    <w:rsid w:val="00C10A86"/>
    <w:rsid w:val="00C15761"/>
    <w:rsid w:val="00C21F49"/>
    <w:rsid w:val="00C2294A"/>
    <w:rsid w:val="00C24442"/>
    <w:rsid w:val="00C31FC4"/>
    <w:rsid w:val="00C35C58"/>
    <w:rsid w:val="00C361A0"/>
    <w:rsid w:val="00C366F8"/>
    <w:rsid w:val="00C36829"/>
    <w:rsid w:val="00C36CA9"/>
    <w:rsid w:val="00C3750C"/>
    <w:rsid w:val="00C37EDE"/>
    <w:rsid w:val="00C450DC"/>
    <w:rsid w:val="00C476A3"/>
    <w:rsid w:val="00C52265"/>
    <w:rsid w:val="00C54391"/>
    <w:rsid w:val="00C54609"/>
    <w:rsid w:val="00C623C2"/>
    <w:rsid w:val="00C63DF3"/>
    <w:rsid w:val="00C652E7"/>
    <w:rsid w:val="00C65EB5"/>
    <w:rsid w:val="00C660CB"/>
    <w:rsid w:val="00C66828"/>
    <w:rsid w:val="00C66D4B"/>
    <w:rsid w:val="00C70CA2"/>
    <w:rsid w:val="00C71287"/>
    <w:rsid w:val="00C715F5"/>
    <w:rsid w:val="00C74010"/>
    <w:rsid w:val="00C801B6"/>
    <w:rsid w:val="00C81080"/>
    <w:rsid w:val="00C83EC0"/>
    <w:rsid w:val="00C8439D"/>
    <w:rsid w:val="00C86B17"/>
    <w:rsid w:val="00C87436"/>
    <w:rsid w:val="00C918DC"/>
    <w:rsid w:val="00C927EE"/>
    <w:rsid w:val="00C93214"/>
    <w:rsid w:val="00C95397"/>
    <w:rsid w:val="00CA19C4"/>
    <w:rsid w:val="00CA2EE5"/>
    <w:rsid w:val="00CA63AE"/>
    <w:rsid w:val="00CA75FC"/>
    <w:rsid w:val="00CA78DE"/>
    <w:rsid w:val="00CB1955"/>
    <w:rsid w:val="00CB2C37"/>
    <w:rsid w:val="00CB54DA"/>
    <w:rsid w:val="00CB6469"/>
    <w:rsid w:val="00CB6BBA"/>
    <w:rsid w:val="00CB6C3F"/>
    <w:rsid w:val="00CC0251"/>
    <w:rsid w:val="00CC049B"/>
    <w:rsid w:val="00CC0CD8"/>
    <w:rsid w:val="00CC1C3E"/>
    <w:rsid w:val="00CC1F1B"/>
    <w:rsid w:val="00CC2F8E"/>
    <w:rsid w:val="00CC5A75"/>
    <w:rsid w:val="00CC78EF"/>
    <w:rsid w:val="00CD432E"/>
    <w:rsid w:val="00CD6ABF"/>
    <w:rsid w:val="00CD7118"/>
    <w:rsid w:val="00CE3837"/>
    <w:rsid w:val="00CF0981"/>
    <w:rsid w:val="00CF1194"/>
    <w:rsid w:val="00CF1B78"/>
    <w:rsid w:val="00CF3240"/>
    <w:rsid w:val="00CF43AB"/>
    <w:rsid w:val="00CF5F43"/>
    <w:rsid w:val="00CF6D2E"/>
    <w:rsid w:val="00CF6ED9"/>
    <w:rsid w:val="00CF7C95"/>
    <w:rsid w:val="00D00C69"/>
    <w:rsid w:val="00D01A24"/>
    <w:rsid w:val="00D01CF7"/>
    <w:rsid w:val="00D0211B"/>
    <w:rsid w:val="00D04C4C"/>
    <w:rsid w:val="00D10982"/>
    <w:rsid w:val="00D13D50"/>
    <w:rsid w:val="00D17433"/>
    <w:rsid w:val="00D17BBD"/>
    <w:rsid w:val="00D17BE6"/>
    <w:rsid w:val="00D20BB1"/>
    <w:rsid w:val="00D218B6"/>
    <w:rsid w:val="00D22087"/>
    <w:rsid w:val="00D26D11"/>
    <w:rsid w:val="00D3326B"/>
    <w:rsid w:val="00D34724"/>
    <w:rsid w:val="00D34A99"/>
    <w:rsid w:val="00D353AC"/>
    <w:rsid w:val="00D355A0"/>
    <w:rsid w:val="00D36C21"/>
    <w:rsid w:val="00D36C3E"/>
    <w:rsid w:val="00D40D14"/>
    <w:rsid w:val="00D41533"/>
    <w:rsid w:val="00D42491"/>
    <w:rsid w:val="00D42A31"/>
    <w:rsid w:val="00D43615"/>
    <w:rsid w:val="00D45A81"/>
    <w:rsid w:val="00D473D7"/>
    <w:rsid w:val="00D513D3"/>
    <w:rsid w:val="00D529CF"/>
    <w:rsid w:val="00D53CBC"/>
    <w:rsid w:val="00D556D1"/>
    <w:rsid w:val="00D55A32"/>
    <w:rsid w:val="00D563CE"/>
    <w:rsid w:val="00D6400C"/>
    <w:rsid w:val="00D650FC"/>
    <w:rsid w:val="00D667D6"/>
    <w:rsid w:val="00D72881"/>
    <w:rsid w:val="00D744C0"/>
    <w:rsid w:val="00D75233"/>
    <w:rsid w:val="00D7667A"/>
    <w:rsid w:val="00D82ABA"/>
    <w:rsid w:val="00D90EFA"/>
    <w:rsid w:val="00D940EC"/>
    <w:rsid w:val="00DA3077"/>
    <w:rsid w:val="00DA530E"/>
    <w:rsid w:val="00DA578F"/>
    <w:rsid w:val="00DA62EB"/>
    <w:rsid w:val="00DA7540"/>
    <w:rsid w:val="00DA7E78"/>
    <w:rsid w:val="00DB1753"/>
    <w:rsid w:val="00DB18D6"/>
    <w:rsid w:val="00DB27B1"/>
    <w:rsid w:val="00DB29EE"/>
    <w:rsid w:val="00DB3063"/>
    <w:rsid w:val="00DB41BE"/>
    <w:rsid w:val="00DB441B"/>
    <w:rsid w:val="00DB4EC4"/>
    <w:rsid w:val="00DC3186"/>
    <w:rsid w:val="00DC641A"/>
    <w:rsid w:val="00DC742F"/>
    <w:rsid w:val="00DD10C4"/>
    <w:rsid w:val="00DD2EA2"/>
    <w:rsid w:val="00DD3CAB"/>
    <w:rsid w:val="00DD7B66"/>
    <w:rsid w:val="00DE28F4"/>
    <w:rsid w:val="00DE2C41"/>
    <w:rsid w:val="00DE3EF3"/>
    <w:rsid w:val="00DE6F8E"/>
    <w:rsid w:val="00DF086B"/>
    <w:rsid w:val="00DF1A05"/>
    <w:rsid w:val="00DF353C"/>
    <w:rsid w:val="00DF4D8D"/>
    <w:rsid w:val="00DF53B8"/>
    <w:rsid w:val="00DF7364"/>
    <w:rsid w:val="00E02EB8"/>
    <w:rsid w:val="00E03168"/>
    <w:rsid w:val="00E031F9"/>
    <w:rsid w:val="00E103E0"/>
    <w:rsid w:val="00E1481A"/>
    <w:rsid w:val="00E15F02"/>
    <w:rsid w:val="00E204DC"/>
    <w:rsid w:val="00E2501A"/>
    <w:rsid w:val="00E266AD"/>
    <w:rsid w:val="00E2707F"/>
    <w:rsid w:val="00E30E28"/>
    <w:rsid w:val="00E33425"/>
    <w:rsid w:val="00E378BC"/>
    <w:rsid w:val="00E40464"/>
    <w:rsid w:val="00E4600F"/>
    <w:rsid w:val="00E5055D"/>
    <w:rsid w:val="00E53278"/>
    <w:rsid w:val="00E54482"/>
    <w:rsid w:val="00E55635"/>
    <w:rsid w:val="00E56E47"/>
    <w:rsid w:val="00E601AB"/>
    <w:rsid w:val="00E60E7E"/>
    <w:rsid w:val="00E66DA4"/>
    <w:rsid w:val="00E72F34"/>
    <w:rsid w:val="00E73FCD"/>
    <w:rsid w:val="00E75A3D"/>
    <w:rsid w:val="00E77189"/>
    <w:rsid w:val="00E83C1A"/>
    <w:rsid w:val="00E84DAF"/>
    <w:rsid w:val="00E84EAF"/>
    <w:rsid w:val="00E8538E"/>
    <w:rsid w:val="00E86313"/>
    <w:rsid w:val="00E86BB1"/>
    <w:rsid w:val="00E90554"/>
    <w:rsid w:val="00E91C52"/>
    <w:rsid w:val="00E92A8E"/>
    <w:rsid w:val="00E92B42"/>
    <w:rsid w:val="00E93AF3"/>
    <w:rsid w:val="00E977AC"/>
    <w:rsid w:val="00EA09A5"/>
    <w:rsid w:val="00EA4513"/>
    <w:rsid w:val="00EA53C6"/>
    <w:rsid w:val="00EA5DD8"/>
    <w:rsid w:val="00EA726B"/>
    <w:rsid w:val="00EA7532"/>
    <w:rsid w:val="00EA7FCB"/>
    <w:rsid w:val="00EB078F"/>
    <w:rsid w:val="00EB386A"/>
    <w:rsid w:val="00EB66E6"/>
    <w:rsid w:val="00EC01B1"/>
    <w:rsid w:val="00EC0A6E"/>
    <w:rsid w:val="00EC0BE0"/>
    <w:rsid w:val="00EC1DB0"/>
    <w:rsid w:val="00EC33C5"/>
    <w:rsid w:val="00EC6B8E"/>
    <w:rsid w:val="00EC74F5"/>
    <w:rsid w:val="00ED1932"/>
    <w:rsid w:val="00ED339A"/>
    <w:rsid w:val="00ED384F"/>
    <w:rsid w:val="00ED3A0B"/>
    <w:rsid w:val="00ED3DB4"/>
    <w:rsid w:val="00EE152D"/>
    <w:rsid w:val="00EE24A8"/>
    <w:rsid w:val="00EE3057"/>
    <w:rsid w:val="00EE73E2"/>
    <w:rsid w:val="00EE740D"/>
    <w:rsid w:val="00EE786E"/>
    <w:rsid w:val="00EF0AC8"/>
    <w:rsid w:val="00EF32AA"/>
    <w:rsid w:val="00EF5231"/>
    <w:rsid w:val="00EF5FC1"/>
    <w:rsid w:val="00F01CD2"/>
    <w:rsid w:val="00F01D68"/>
    <w:rsid w:val="00F04F3B"/>
    <w:rsid w:val="00F05067"/>
    <w:rsid w:val="00F0557B"/>
    <w:rsid w:val="00F05743"/>
    <w:rsid w:val="00F0595E"/>
    <w:rsid w:val="00F064D4"/>
    <w:rsid w:val="00F11A7B"/>
    <w:rsid w:val="00F1434F"/>
    <w:rsid w:val="00F149BA"/>
    <w:rsid w:val="00F16F54"/>
    <w:rsid w:val="00F178E0"/>
    <w:rsid w:val="00F22C08"/>
    <w:rsid w:val="00F2404C"/>
    <w:rsid w:val="00F25A8B"/>
    <w:rsid w:val="00F25C83"/>
    <w:rsid w:val="00F262D3"/>
    <w:rsid w:val="00F263E3"/>
    <w:rsid w:val="00F31FB3"/>
    <w:rsid w:val="00F34731"/>
    <w:rsid w:val="00F37161"/>
    <w:rsid w:val="00F37964"/>
    <w:rsid w:val="00F406AE"/>
    <w:rsid w:val="00F41885"/>
    <w:rsid w:val="00F43A2F"/>
    <w:rsid w:val="00F462B6"/>
    <w:rsid w:val="00F52988"/>
    <w:rsid w:val="00F5347D"/>
    <w:rsid w:val="00F56208"/>
    <w:rsid w:val="00F57129"/>
    <w:rsid w:val="00F571B4"/>
    <w:rsid w:val="00F60616"/>
    <w:rsid w:val="00F65302"/>
    <w:rsid w:val="00F6586B"/>
    <w:rsid w:val="00F67769"/>
    <w:rsid w:val="00F70201"/>
    <w:rsid w:val="00F71402"/>
    <w:rsid w:val="00F71F8F"/>
    <w:rsid w:val="00F728ED"/>
    <w:rsid w:val="00F73679"/>
    <w:rsid w:val="00F739E2"/>
    <w:rsid w:val="00F82872"/>
    <w:rsid w:val="00F828AD"/>
    <w:rsid w:val="00F82F5E"/>
    <w:rsid w:val="00F85540"/>
    <w:rsid w:val="00F86020"/>
    <w:rsid w:val="00F860A3"/>
    <w:rsid w:val="00F86EAC"/>
    <w:rsid w:val="00F874E4"/>
    <w:rsid w:val="00F87E99"/>
    <w:rsid w:val="00F9262A"/>
    <w:rsid w:val="00F97B60"/>
    <w:rsid w:val="00FA138B"/>
    <w:rsid w:val="00FA1E2B"/>
    <w:rsid w:val="00FA2F5C"/>
    <w:rsid w:val="00FA3C35"/>
    <w:rsid w:val="00FA500B"/>
    <w:rsid w:val="00FA5E8F"/>
    <w:rsid w:val="00FA68D0"/>
    <w:rsid w:val="00FB0CBF"/>
    <w:rsid w:val="00FB5168"/>
    <w:rsid w:val="00FC1791"/>
    <w:rsid w:val="00FC409E"/>
    <w:rsid w:val="00FC5790"/>
    <w:rsid w:val="00FC7B77"/>
    <w:rsid w:val="00FD43DA"/>
    <w:rsid w:val="00FD55FF"/>
    <w:rsid w:val="00FD623B"/>
    <w:rsid w:val="00FD78DE"/>
    <w:rsid w:val="00FE056A"/>
    <w:rsid w:val="00FE07EF"/>
    <w:rsid w:val="00FE12CA"/>
    <w:rsid w:val="00FE2405"/>
    <w:rsid w:val="00FE577C"/>
    <w:rsid w:val="00FE6959"/>
    <w:rsid w:val="00FF0DAD"/>
    <w:rsid w:val="00FF1398"/>
    <w:rsid w:val="00FF6D12"/>
    <w:rsid w:val="00FF748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EF082"/>
  <w15:docId w15:val="{5A6AFC4D-7B31-D34E-A31A-3E0A5C47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097C61"/>
    <w:pPr>
      <w:spacing w:after="160" w:line="278" w:lineRule="auto"/>
    </w:pPr>
  </w:style>
  <w:style w:type="paragraph" w:styleId="Heading1">
    <w:name w:val="heading 1"/>
    <w:basedOn w:val="Normal"/>
    <w:next w:val="Normal"/>
    <w:link w:val="Heading1Char"/>
    <w:uiPriority w:val="9"/>
    <w:qFormat/>
    <w:rsid w:val="00517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7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F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7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17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17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517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517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sid w:val="00517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sid w:val="00517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517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517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517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517F6C"/>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517F6C"/>
    <w:rPr>
      <w:rFonts w:asciiTheme="majorHAnsi" w:eastAsiaTheme="majorEastAsia" w:hAnsiTheme="majorHAnsi" w:cstheme="majorBidi"/>
      <w:spacing w:val="-10"/>
      <w:sz w:val="56"/>
      <w:szCs w:val="56"/>
    </w:rPr>
  </w:style>
  <w:style w:type="character" w:customStyle="1" w:styleId="SubtitleChar">
    <w:name w:val="Subtitle Char"/>
    <w:basedOn w:val="DefaultParagraphFont"/>
    <w:link w:val="Subtitle"/>
    <w:uiPriority w:val="11"/>
    <w:qFormat/>
    <w:rsid w:val="00517F6C"/>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517F6C"/>
    <w:rPr>
      <w:i/>
      <w:iCs/>
      <w:color w:val="404040" w:themeColor="text1" w:themeTint="BF"/>
    </w:rPr>
  </w:style>
  <w:style w:type="character" w:styleId="IntenseEmphasis">
    <w:name w:val="Intense Emphasis"/>
    <w:basedOn w:val="DefaultParagraphFont"/>
    <w:uiPriority w:val="21"/>
    <w:qFormat/>
    <w:rsid w:val="00517F6C"/>
    <w:rPr>
      <w:i/>
      <w:iCs/>
      <w:color w:val="0F4761" w:themeColor="accent1" w:themeShade="BF"/>
    </w:rPr>
  </w:style>
  <w:style w:type="character" w:customStyle="1" w:styleId="IntenseQuoteChar">
    <w:name w:val="Intense Quote Char"/>
    <w:basedOn w:val="DefaultParagraphFont"/>
    <w:link w:val="IntenseQuote"/>
    <w:uiPriority w:val="30"/>
    <w:qFormat/>
    <w:rsid w:val="00517F6C"/>
    <w:rPr>
      <w:i/>
      <w:iCs/>
      <w:color w:val="0F4761" w:themeColor="accent1" w:themeShade="BF"/>
    </w:rPr>
  </w:style>
  <w:style w:type="character" w:styleId="IntenseReference">
    <w:name w:val="Intense Reference"/>
    <w:basedOn w:val="DefaultParagraphFont"/>
    <w:uiPriority w:val="32"/>
    <w:qFormat/>
    <w:rsid w:val="00517F6C"/>
    <w:rPr>
      <w:b/>
      <w:bCs/>
      <w:smallCaps/>
      <w:color w:val="0F4761" w:themeColor="accent1" w:themeShade="BF"/>
      <w:spacing w:val="5"/>
    </w:rPr>
  </w:style>
  <w:style w:type="character" w:customStyle="1" w:styleId="EndnoteTextChar">
    <w:name w:val="Endnote Text Char"/>
    <w:basedOn w:val="DefaultParagraphFont"/>
    <w:link w:val="EndnoteText"/>
    <w:uiPriority w:val="99"/>
    <w:semiHidden/>
    <w:qFormat/>
    <w:rsid w:val="009626F4"/>
    <w:rPr>
      <w:sz w:val="20"/>
      <w:szCs w:val="20"/>
    </w:rPr>
  </w:style>
  <w:style w:type="character" w:customStyle="1" w:styleId="EndnoteCharacters">
    <w:name w:val="Endnote Characters"/>
    <w:basedOn w:val="DefaultParagraphFont"/>
    <w:uiPriority w:val="99"/>
    <w:semiHidden/>
    <w:unhideWhenUsed/>
    <w:qFormat/>
    <w:rsid w:val="009626F4"/>
    <w:rPr>
      <w:vertAlign w:val="superscript"/>
    </w:rPr>
  </w:style>
  <w:style w:type="character" w:styleId="EndnoteReference">
    <w:name w:val="endnote reference"/>
    <w:uiPriority w:val="99"/>
    <w:rsid w:val="00097C61"/>
    <w:rPr>
      <w:vertAlign w:val="superscript"/>
    </w:rPr>
  </w:style>
  <w:style w:type="character" w:customStyle="1" w:styleId="FootnoteTextChar">
    <w:name w:val="Footnote Text Char"/>
    <w:basedOn w:val="DefaultParagraphFont"/>
    <w:link w:val="FootnoteText"/>
    <w:uiPriority w:val="99"/>
    <w:qFormat/>
    <w:rsid w:val="00256E53"/>
    <w:rPr>
      <w:rFonts w:ascii="Times New Roman" w:hAnsi="Times New Roman" w:cs="Times New Roman"/>
      <w:sz w:val="20"/>
      <w:szCs w:val="20"/>
    </w:rPr>
  </w:style>
  <w:style w:type="character" w:customStyle="1" w:styleId="FootnoteCharacters">
    <w:name w:val="Footnote Characters"/>
    <w:basedOn w:val="DefaultParagraphFont"/>
    <w:uiPriority w:val="99"/>
    <w:semiHidden/>
    <w:unhideWhenUsed/>
    <w:qFormat/>
    <w:rsid w:val="009626F4"/>
    <w:rPr>
      <w:vertAlign w:val="superscript"/>
    </w:rPr>
  </w:style>
  <w:style w:type="character" w:styleId="FootnoteReference">
    <w:name w:val="footnote reference"/>
    <w:uiPriority w:val="99"/>
    <w:rsid w:val="00097C61"/>
    <w:rPr>
      <w:vertAlign w:val="superscript"/>
    </w:rPr>
  </w:style>
  <w:style w:type="character" w:customStyle="1" w:styleId="HeaderChar">
    <w:name w:val="Header Char"/>
    <w:basedOn w:val="DefaultParagraphFont"/>
    <w:link w:val="Header"/>
    <w:uiPriority w:val="99"/>
    <w:qFormat/>
    <w:rsid w:val="009626F4"/>
  </w:style>
  <w:style w:type="character" w:customStyle="1" w:styleId="FooterChar">
    <w:name w:val="Footer Char"/>
    <w:basedOn w:val="DefaultParagraphFont"/>
    <w:link w:val="Footer"/>
    <w:uiPriority w:val="99"/>
    <w:qFormat/>
    <w:rsid w:val="009626F4"/>
  </w:style>
  <w:style w:type="character" w:styleId="Hyperlink">
    <w:name w:val="Hyperlink"/>
    <w:basedOn w:val="DefaultParagraphFont"/>
    <w:uiPriority w:val="99"/>
    <w:unhideWhenUsed/>
    <w:rsid w:val="001D58EA"/>
    <w:rPr>
      <w:color w:val="467886" w:themeColor="hyperlink"/>
      <w:u w:val="single"/>
    </w:rPr>
  </w:style>
  <w:style w:type="character" w:customStyle="1" w:styleId="BalloonTextChar">
    <w:name w:val="Balloon Text Char"/>
    <w:basedOn w:val="DefaultParagraphFont"/>
    <w:link w:val="BalloonText"/>
    <w:uiPriority w:val="99"/>
    <w:semiHidden/>
    <w:qFormat/>
    <w:rsid w:val="005323D6"/>
    <w:rPr>
      <w:rFonts w:ascii="Segoe UI" w:hAnsi="Segoe UI" w:cs="Segoe UI"/>
      <w:sz w:val="18"/>
      <w:szCs w:val="18"/>
    </w:rPr>
  </w:style>
  <w:style w:type="character" w:styleId="Emphasis">
    <w:name w:val="Emphasis"/>
    <w:basedOn w:val="DefaultParagraphFont"/>
    <w:uiPriority w:val="20"/>
    <w:qFormat/>
    <w:rsid w:val="007C0D3C"/>
    <w:rPr>
      <w:i/>
      <w:iCs/>
    </w:rPr>
  </w:style>
  <w:style w:type="character" w:styleId="UnresolvedMention">
    <w:name w:val="Unresolved Mention"/>
    <w:basedOn w:val="DefaultParagraphFont"/>
    <w:uiPriority w:val="99"/>
    <w:semiHidden/>
    <w:unhideWhenUsed/>
    <w:qFormat/>
    <w:rsid w:val="00097C61"/>
    <w:rPr>
      <w:color w:val="605E5C"/>
      <w:shd w:val="clear" w:color="auto" w:fill="E1DFDD"/>
    </w:rPr>
  </w:style>
  <w:style w:type="character" w:styleId="FollowedHyperlink">
    <w:name w:val="FollowedHyperlink"/>
    <w:basedOn w:val="DefaultParagraphFont"/>
    <w:uiPriority w:val="99"/>
    <w:semiHidden/>
    <w:unhideWhenUsed/>
    <w:rsid w:val="00745C39"/>
    <w:rPr>
      <w:color w:val="96607D" w:themeColor="followedHyperlink"/>
      <w:u w:val="single"/>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rPr>
      <w:rFonts w:cs="DejaVu Sans"/>
    </w:rPr>
  </w:style>
  <w:style w:type="paragraph" w:styleId="Caption">
    <w:name w:val="caption"/>
    <w:basedOn w:val="Normal"/>
    <w:qFormat/>
    <w:pPr>
      <w:suppressLineNumbers/>
      <w:spacing w:before="120" w:after="120"/>
    </w:pPr>
    <w:rPr>
      <w:rFonts w:cs="DejaVu Sans"/>
      <w:i/>
      <w:iCs/>
    </w:rPr>
  </w:style>
  <w:style w:type="paragraph" w:customStyle="1" w:styleId="Index">
    <w:name w:val="Index"/>
    <w:basedOn w:val="Normal"/>
    <w:qFormat/>
    <w:pPr>
      <w:suppressLineNumbers/>
    </w:pPr>
    <w:rPr>
      <w:rFonts w:cs="DejaVu Sans"/>
    </w:rPr>
  </w:style>
  <w:style w:type="paragraph" w:styleId="Title">
    <w:name w:val="Title"/>
    <w:basedOn w:val="Normal"/>
    <w:next w:val="Normal"/>
    <w:link w:val="TitleChar"/>
    <w:uiPriority w:val="10"/>
    <w:qFormat/>
    <w:rsid w:val="00097C61"/>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97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F6C"/>
    <w:pPr>
      <w:spacing w:before="160"/>
      <w:jc w:val="center"/>
    </w:pPr>
    <w:rPr>
      <w:i/>
      <w:iCs/>
      <w:color w:val="404040" w:themeColor="text1" w:themeTint="BF"/>
    </w:rPr>
  </w:style>
  <w:style w:type="paragraph" w:styleId="ListParagraph">
    <w:name w:val="List Paragraph"/>
    <w:basedOn w:val="Normal"/>
    <w:uiPriority w:val="34"/>
    <w:qFormat/>
    <w:rsid w:val="00517F6C"/>
    <w:pPr>
      <w:ind w:left="720"/>
      <w:contextualSpacing/>
    </w:pPr>
  </w:style>
  <w:style w:type="paragraph" w:styleId="IntenseQuote">
    <w:name w:val="Intense Quote"/>
    <w:basedOn w:val="Normal"/>
    <w:next w:val="Normal"/>
    <w:link w:val="IntenseQuoteChar"/>
    <w:uiPriority w:val="30"/>
    <w:qFormat/>
    <w:rsid w:val="00517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EndnoteText">
    <w:name w:val="endnote text"/>
    <w:basedOn w:val="Normal"/>
    <w:link w:val="EndnoteTextChar"/>
    <w:uiPriority w:val="99"/>
    <w:semiHidden/>
    <w:unhideWhenUsed/>
    <w:rsid w:val="009626F4"/>
    <w:pPr>
      <w:spacing w:after="0" w:line="240" w:lineRule="auto"/>
    </w:pPr>
    <w:rPr>
      <w:sz w:val="20"/>
      <w:szCs w:val="20"/>
    </w:rPr>
  </w:style>
  <w:style w:type="paragraph" w:styleId="FootnoteText">
    <w:name w:val="footnote text"/>
    <w:basedOn w:val="Normal"/>
    <w:link w:val="FootnoteTextChar"/>
    <w:autoRedefine/>
    <w:uiPriority w:val="99"/>
    <w:unhideWhenUsed/>
    <w:qFormat/>
    <w:rsid w:val="00256E53"/>
    <w:pPr>
      <w:spacing w:after="0" w:line="240" w:lineRule="auto"/>
    </w:pPr>
    <w:rPr>
      <w:rFonts w:ascii="Times New Roman" w:hAnsi="Times New Roman" w:cs="Times New Roman"/>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626F4"/>
    <w:pPr>
      <w:tabs>
        <w:tab w:val="center" w:pos="4680"/>
        <w:tab w:val="right" w:pos="9360"/>
      </w:tabs>
      <w:spacing w:after="0" w:line="240" w:lineRule="auto"/>
    </w:pPr>
  </w:style>
  <w:style w:type="paragraph" w:styleId="Footer">
    <w:name w:val="footer"/>
    <w:basedOn w:val="Normal"/>
    <w:link w:val="FooterChar"/>
    <w:uiPriority w:val="99"/>
    <w:unhideWhenUsed/>
    <w:rsid w:val="009626F4"/>
    <w:pPr>
      <w:tabs>
        <w:tab w:val="center" w:pos="4680"/>
        <w:tab w:val="right" w:pos="9360"/>
      </w:tabs>
      <w:spacing w:after="0" w:line="240" w:lineRule="auto"/>
    </w:pPr>
  </w:style>
  <w:style w:type="paragraph" w:styleId="TOC2">
    <w:name w:val="toc 2"/>
    <w:basedOn w:val="Normal"/>
    <w:next w:val="Normal"/>
    <w:autoRedefine/>
    <w:uiPriority w:val="39"/>
    <w:unhideWhenUsed/>
    <w:rsid w:val="001D58EA"/>
    <w:pPr>
      <w:spacing w:after="100"/>
      <w:ind w:left="240"/>
    </w:pPr>
  </w:style>
  <w:style w:type="paragraph" w:styleId="TOC3">
    <w:name w:val="toc 3"/>
    <w:basedOn w:val="Normal"/>
    <w:next w:val="Normal"/>
    <w:autoRedefine/>
    <w:uiPriority w:val="39"/>
    <w:unhideWhenUsed/>
    <w:rsid w:val="001D58EA"/>
    <w:pPr>
      <w:spacing w:after="100"/>
      <w:ind w:left="480"/>
    </w:pPr>
  </w:style>
  <w:style w:type="paragraph" w:styleId="TOC1">
    <w:name w:val="toc 1"/>
    <w:basedOn w:val="Normal"/>
    <w:next w:val="Normal"/>
    <w:autoRedefine/>
    <w:uiPriority w:val="39"/>
    <w:unhideWhenUsed/>
    <w:rsid w:val="005323D6"/>
    <w:pPr>
      <w:spacing w:after="100"/>
    </w:pPr>
  </w:style>
  <w:style w:type="paragraph" w:styleId="BalloonText">
    <w:name w:val="Balloon Text"/>
    <w:basedOn w:val="Normal"/>
    <w:link w:val="BalloonTextChar"/>
    <w:uiPriority w:val="99"/>
    <w:semiHidden/>
    <w:unhideWhenUsed/>
    <w:qFormat/>
    <w:rsid w:val="00097C61"/>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97C61"/>
    <w:pPr>
      <w:spacing w:beforeAutospacing="1" w:afterAutospacing="1" w:line="240" w:lineRule="auto"/>
    </w:pPr>
    <w:rPr>
      <w:rFonts w:ascii="Times New Roman" w:eastAsia="Times New Roman" w:hAnsi="Times New Roman" w:cs="Times New Roman"/>
      <w:kern w:val="0"/>
      <w14:ligatures w14:val="none"/>
    </w:rPr>
  </w:style>
  <w:style w:type="paragraph" w:styleId="IndexHeading">
    <w:name w:val="index heading"/>
    <w:basedOn w:val="Heading"/>
  </w:style>
  <w:style w:type="paragraph" w:styleId="TOCHeading">
    <w:name w:val="TOC Heading"/>
    <w:basedOn w:val="Heading1"/>
    <w:next w:val="Normal"/>
    <w:uiPriority w:val="39"/>
    <w:unhideWhenUsed/>
    <w:qFormat/>
    <w:rsid w:val="000B252D"/>
    <w:pPr>
      <w:spacing w:before="240" w:after="0" w:line="259" w:lineRule="auto"/>
      <w:outlineLvl w:val="9"/>
    </w:pPr>
    <w:rPr>
      <w:kern w:val="0"/>
      <w:sz w:val="32"/>
      <w:szCs w:val="32"/>
      <w14:ligatures w14:val="none"/>
    </w:rPr>
  </w:style>
  <w:style w:type="paragraph" w:styleId="TOC4">
    <w:name w:val="toc 4"/>
    <w:basedOn w:val="Normal"/>
    <w:next w:val="Normal"/>
    <w:autoRedefine/>
    <w:uiPriority w:val="39"/>
    <w:unhideWhenUsed/>
    <w:rsid w:val="00884D26"/>
    <w:pPr>
      <w:spacing w:after="100"/>
      <w:ind w:left="720"/>
    </w:pPr>
  </w:style>
  <w:style w:type="paragraph" w:customStyle="1" w:styleId="11kfxpgc">
    <w:name w:val="_11kfxpgc"/>
    <w:basedOn w:val="Normal"/>
    <w:qFormat/>
    <w:rsid w:val="00097C61"/>
    <w:pPr>
      <w:spacing w:beforeAutospacing="1" w:afterAutospacing="1" w:line="240" w:lineRule="auto"/>
    </w:pPr>
    <w:rPr>
      <w:rFonts w:ascii="Times New Roman" w:eastAsia="Times New Roman" w:hAnsi="Times New Roman" w:cs="Times New Roman"/>
      <w:kern w:val="0"/>
      <w14:ligatures w14:val="none"/>
    </w:rPr>
  </w:style>
  <w:style w:type="paragraph" w:styleId="Revision">
    <w:name w:val="Revision"/>
    <w:uiPriority w:val="99"/>
    <w:semiHidden/>
    <w:qFormat/>
    <w:rsid w:val="00097C61"/>
  </w:style>
  <w:style w:type="character" w:styleId="CommentReference">
    <w:name w:val="annotation reference"/>
    <w:basedOn w:val="DefaultParagraphFont"/>
    <w:uiPriority w:val="99"/>
    <w:semiHidden/>
    <w:unhideWhenUsed/>
    <w:rsid w:val="00905B54"/>
    <w:rPr>
      <w:sz w:val="16"/>
      <w:szCs w:val="16"/>
    </w:rPr>
  </w:style>
  <w:style w:type="paragraph" w:styleId="CommentText">
    <w:name w:val="annotation text"/>
    <w:basedOn w:val="Normal"/>
    <w:link w:val="CommentTextChar"/>
    <w:uiPriority w:val="99"/>
    <w:unhideWhenUsed/>
    <w:rsid w:val="00905B54"/>
    <w:pPr>
      <w:spacing w:line="240" w:lineRule="auto"/>
    </w:pPr>
    <w:rPr>
      <w:sz w:val="20"/>
      <w:szCs w:val="20"/>
    </w:rPr>
  </w:style>
  <w:style w:type="character" w:customStyle="1" w:styleId="CommentTextChar">
    <w:name w:val="Comment Text Char"/>
    <w:basedOn w:val="DefaultParagraphFont"/>
    <w:link w:val="CommentText"/>
    <w:uiPriority w:val="99"/>
    <w:rsid w:val="00905B54"/>
    <w:rPr>
      <w:sz w:val="20"/>
      <w:szCs w:val="20"/>
    </w:rPr>
  </w:style>
  <w:style w:type="paragraph" w:styleId="CommentSubject">
    <w:name w:val="annotation subject"/>
    <w:basedOn w:val="CommentText"/>
    <w:next w:val="CommentText"/>
    <w:link w:val="CommentSubjectChar"/>
    <w:uiPriority w:val="99"/>
    <w:semiHidden/>
    <w:unhideWhenUsed/>
    <w:rsid w:val="00905B54"/>
    <w:rPr>
      <w:b/>
      <w:bCs/>
    </w:rPr>
  </w:style>
  <w:style w:type="character" w:customStyle="1" w:styleId="CommentSubjectChar">
    <w:name w:val="Comment Subject Char"/>
    <w:basedOn w:val="CommentTextChar"/>
    <w:link w:val="CommentSubject"/>
    <w:uiPriority w:val="99"/>
    <w:semiHidden/>
    <w:rsid w:val="00905B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136">
      <w:bodyDiv w:val="1"/>
      <w:marLeft w:val="0"/>
      <w:marRight w:val="0"/>
      <w:marTop w:val="0"/>
      <w:marBottom w:val="0"/>
      <w:divBdr>
        <w:top w:val="none" w:sz="0" w:space="0" w:color="auto"/>
        <w:left w:val="none" w:sz="0" w:space="0" w:color="auto"/>
        <w:bottom w:val="none" w:sz="0" w:space="0" w:color="auto"/>
        <w:right w:val="none" w:sz="0" w:space="0" w:color="auto"/>
      </w:divBdr>
      <w:divsChild>
        <w:div w:id="468595571">
          <w:marLeft w:val="0"/>
          <w:marRight w:val="0"/>
          <w:marTop w:val="0"/>
          <w:marBottom w:val="0"/>
          <w:divBdr>
            <w:top w:val="none" w:sz="0" w:space="0" w:color="auto"/>
            <w:left w:val="none" w:sz="0" w:space="0" w:color="auto"/>
            <w:bottom w:val="none" w:sz="0" w:space="0" w:color="auto"/>
            <w:right w:val="none" w:sz="0" w:space="0" w:color="auto"/>
          </w:divBdr>
          <w:divsChild>
            <w:div w:id="1060863776">
              <w:marLeft w:val="0"/>
              <w:marRight w:val="0"/>
              <w:marTop w:val="0"/>
              <w:marBottom w:val="0"/>
              <w:divBdr>
                <w:top w:val="none" w:sz="0" w:space="0" w:color="auto"/>
                <w:left w:val="none" w:sz="0" w:space="0" w:color="auto"/>
                <w:bottom w:val="none" w:sz="0" w:space="0" w:color="auto"/>
                <w:right w:val="none" w:sz="0" w:space="0" w:color="auto"/>
              </w:divBdr>
            </w:div>
          </w:divsChild>
        </w:div>
        <w:div w:id="521549483">
          <w:marLeft w:val="0"/>
          <w:marRight w:val="0"/>
          <w:marTop w:val="0"/>
          <w:marBottom w:val="0"/>
          <w:divBdr>
            <w:top w:val="none" w:sz="0" w:space="0" w:color="auto"/>
            <w:left w:val="none" w:sz="0" w:space="0" w:color="auto"/>
            <w:bottom w:val="none" w:sz="0" w:space="0" w:color="auto"/>
            <w:right w:val="none" w:sz="0" w:space="0" w:color="auto"/>
          </w:divBdr>
          <w:divsChild>
            <w:div w:id="1506633789">
              <w:marLeft w:val="0"/>
              <w:marRight w:val="0"/>
              <w:marTop w:val="0"/>
              <w:marBottom w:val="0"/>
              <w:divBdr>
                <w:top w:val="none" w:sz="0" w:space="0" w:color="auto"/>
                <w:left w:val="none" w:sz="0" w:space="0" w:color="auto"/>
                <w:bottom w:val="none" w:sz="0" w:space="0" w:color="auto"/>
                <w:right w:val="none" w:sz="0" w:space="0" w:color="auto"/>
              </w:divBdr>
            </w:div>
          </w:divsChild>
        </w:div>
        <w:div w:id="1399784573">
          <w:marLeft w:val="0"/>
          <w:marRight w:val="0"/>
          <w:marTop w:val="0"/>
          <w:marBottom w:val="0"/>
          <w:divBdr>
            <w:top w:val="none" w:sz="0" w:space="0" w:color="auto"/>
            <w:left w:val="none" w:sz="0" w:space="0" w:color="auto"/>
            <w:bottom w:val="none" w:sz="0" w:space="0" w:color="auto"/>
            <w:right w:val="none" w:sz="0" w:space="0" w:color="auto"/>
          </w:divBdr>
          <w:divsChild>
            <w:div w:id="1043020423">
              <w:marLeft w:val="0"/>
              <w:marRight w:val="0"/>
              <w:marTop w:val="0"/>
              <w:marBottom w:val="0"/>
              <w:divBdr>
                <w:top w:val="none" w:sz="0" w:space="0" w:color="auto"/>
                <w:left w:val="none" w:sz="0" w:space="0" w:color="auto"/>
                <w:bottom w:val="none" w:sz="0" w:space="0" w:color="auto"/>
                <w:right w:val="none" w:sz="0" w:space="0" w:color="auto"/>
              </w:divBdr>
            </w:div>
          </w:divsChild>
        </w:div>
        <w:div w:id="1859001559">
          <w:marLeft w:val="0"/>
          <w:marRight w:val="0"/>
          <w:marTop w:val="0"/>
          <w:marBottom w:val="0"/>
          <w:divBdr>
            <w:top w:val="none" w:sz="0" w:space="0" w:color="auto"/>
            <w:left w:val="none" w:sz="0" w:space="0" w:color="auto"/>
            <w:bottom w:val="none" w:sz="0" w:space="0" w:color="auto"/>
            <w:right w:val="none" w:sz="0" w:space="0" w:color="auto"/>
          </w:divBdr>
          <w:divsChild>
            <w:div w:id="14229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5124">
      <w:bodyDiv w:val="1"/>
      <w:marLeft w:val="0"/>
      <w:marRight w:val="0"/>
      <w:marTop w:val="0"/>
      <w:marBottom w:val="0"/>
      <w:divBdr>
        <w:top w:val="none" w:sz="0" w:space="0" w:color="auto"/>
        <w:left w:val="none" w:sz="0" w:space="0" w:color="auto"/>
        <w:bottom w:val="none" w:sz="0" w:space="0" w:color="auto"/>
        <w:right w:val="none" w:sz="0" w:space="0" w:color="auto"/>
      </w:divBdr>
    </w:div>
    <w:div w:id="248975354">
      <w:bodyDiv w:val="1"/>
      <w:marLeft w:val="0"/>
      <w:marRight w:val="0"/>
      <w:marTop w:val="0"/>
      <w:marBottom w:val="0"/>
      <w:divBdr>
        <w:top w:val="none" w:sz="0" w:space="0" w:color="auto"/>
        <w:left w:val="none" w:sz="0" w:space="0" w:color="auto"/>
        <w:bottom w:val="none" w:sz="0" w:space="0" w:color="auto"/>
        <w:right w:val="none" w:sz="0" w:space="0" w:color="auto"/>
      </w:divBdr>
      <w:divsChild>
        <w:div w:id="2105107173">
          <w:marLeft w:val="0"/>
          <w:marRight w:val="0"/>
          <w:marTop w:val="0"/>
          <w:marBottom w:val="0"/>
          <w:divBdr>
            <w:top w:val="none" w:sz="0" w:space="0" w:color="auto"/>
            <w:left w:val="none" w:sz="0" w:space="0" w:color="auto"/>
            <w:bottom w:val="none" w:sz="0" w:space="0" w:color="auto"/>
            <w:right w:val="none" w:sz="0" w:space="0" w:color="auto"/>
          </w:divBdr>
          <w:divsChild>
            <w:div w:id="555507662">
              <w:marLeft w:val="0"/>
              <w:marRight w:val="0"/>
              <w:marTop w:val="0"/>
              <w:marBottom w:val="0"/>
              <w:divBdr>
                <w:top w:val="none" w:sz="0" w:space="0" w:color="auto"/>
                <w:left w:val="none" w:sz="0" w:space="0" w:color="auto"/>
                <w:bottom w:val="none" w:sz="0" w:space="0" w:color="auto"/>
                <w:right w:val="none" w:sz="0" w:space="0" w:color="auto"/>
              </w:divBdr>
              <w:divsChild>
                <w:div w:id="10982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44738">
      <w:bodyDiv w:val="1"/>
      <w:marLeft w:val="0"/>
      <w:marRight w:val="0"/>
      <w:marTop w:val="0"/>
      <w:marBottom w:val="0"/>
      <w:divBdr>
        <w:top w:val="none" w:sz="0" w:space="0" w:color="auto"/>
        <w:left w:val="none" w:sz="0" w:space="0" w:color="auto"/>
        <w:bottom w:val="none" w:sz="0" w:space="0" w:color="auto"/>
        <w:right w:val="none" w:sz="0" w:space="0" w:color="auto"/>
      </w:divBdr>
    </w:div>
    <w:div w:id="485973239">
      <w:bodyDiv w:val="1"/>
      <w:marLeft w:val="0"/>
      <w:marRight w:val="0"/>
      <w:marTop w:val="0"/>
      <w:marBottom w:val="0"/>
      <w:divBdr>
        <w:top w:val="none" w:sz="0" w:space="0" w:color="auto"/>
        <w:left w:val="none" w:sz="0" w:space="0" w:color="auto"/>
        <w:bottom w:val="none" w:sz="0" w:space="0" w:color="auto"/>
        <w:right w:val="none" w:sz="0" w:space="0" w:color="auto"/>
      </w:divBdr>
    </w:div>
    <w:div w:id="492600591">
      <w:bodyDiv w:val="1"/>
      <w:marLeft w:val="0"/>
      <w:marRight w:val="0"/>
      <w:marTop w:val="0"/>
      <w:marBottom w:val="0"/>
      <w:divBdr>
        <w:top w:val="none" w:sz="0" w:space="0" w:color="auto"/>
        <w:left w:val="none" w:sz="0" w:space="0" w:color="auto"/>
        <w:bottom w:val="none" w:sz="0" w:space="0" w:color="auto"/>
        <w:right w:val="none" w:sz="0" w:space="0" w:color="auto"/>
      </w:divBdr>
    </w:div>
    <w:div w:id="984234374">
      <w:bodyDiv w:val="1"/>
      <w:marLeft w:val="0"/>
      <w:marRight w:val="0"/>
      <w:marTop w:val="0"/>
      <w:marBottom w:val="0"/>
      <w:divBdr>
        <w:top w:val="none" w:sz="0" w:space="0" w:color="auto"/>
        <w:left w:val="none" w:sz="0" w:space="0" w:color="auto"/>
        <w:bottom w:val="none" w:sz="0" w:space="0" w:color="auto"/>
        <w:right w:val="none" w:sz="0" w:space="0" w:color="auto"/>
      </w:divBdr>
    </w:div>
    <w:div w:id="1017200041">
      <w:bodyDiv w:val="1"/>
      <w:marLeft w:val="0"/>
      <w:marRight w:val="0"/>
      <w:marTop w:val="0"/>
      <w:marBottom w:val="0"/>
      <w:divBdr>
        <w:top w:val="none" w:sz="0" w:space="0" w:color="auto"/>
        <w:left w:val="none" w:sz="0" w:space="0" w:color="auto"/>
        <w:bottom w:val="none" w:sz="0" w:space="0" w:color="auto"/>
        <w:right w:val="none" w:sz="0" w:space="0" w:color="auto"/>
      </w:divBdr>
    </w:div>
    <w:div w:id="1168015163">
      <w:bodyDiv w:val="1"/>
      <w:marLeft w:val="0"/>
      <w:marRight w:val="0"/>
      <w:marTop w:val="0"/>
      <w:marBottom w:val="0"/>
      <w:divBdr>
        <w:top w:val="none" w:sz="0" w:space="0" w:color="auto"/>
        <w:left w:val="none" w:sz="0" w:space="0" w:color="auto"/>
        <w:bottom w:val="none" w:sz="0" w:space="0" w:color="auto"/>
        <w:right w:val="none" w:sz="0" w:space="0" w:color="auto"/>
      </w:divBdr>
    </w:div>
    <w:div w:id="1631396599">
      <w:bodyDiv w:val="1"/>
      <w:marLeft w:val="0"/>
      <w:marRight w:val="0"/>
      <w:marTop w:val="0"/>
      <w:marBottom w:val="0"/>
      <w:divBdr>
        <w:top w:val="none" w:sz="0" w:space="0" w:color="auto"/>
        <w:left w:val="none" w:sz="0" w:space="0" w:color="auto"/>
        <w:bottom w:val="none" w:sz="0" w:space="0" w:color="auto"/>
        <w:right w:val="none" w:sz="0" w:space="0" w:color="auto"/>
      </w:divBdr>
    </w:div>
    <w:div w:id="1639188235">
      <w:bodyDiv w:val="1"/>
      <w:marLeft w:val="0"/>
      <w:marRight w:val="0"/>
      <w:marTop w:val="0"/>
      <w:marBottom w:val="0"/>
      <w:divBdr>
        <w:top w:val="none" w:sz="0" w:space="0" w:color="auto"/>
        <w:left w:val="none" w:sz="0" w:space="0" w:color="auto"/>
        <w:bottom w:val="none" w:sz="0" w:space="0" w:color="auto"/>
        <w:right w:val="none" w:sz="0" w:space="0" w:color="auto"/>
      </w:divBdr>
    </w:div>
    <w:div w:id="1643073209">
      <w:bodyDiv w:val="1"/>
      <w:marLeft w:val="0"/>
      <w:marRight w:val="0"/>
      <w:marTop w:val="0"/>
      <w:marBottom w:val="0"/>
      <w:divBdr>
        <w:top w:val="none" w:sz="0" w:space="0" w:color="auto"/>
        <w:left w:val="none" w:sz="0" w:space="0" w:color="auto"/>
        <w:bottom w:val="none" w:sz="0" w:space="0" w:color="auto"/>
        <w:right w:val="none" w:sz="0" w:space="0" w:color="auto"/>
      </w:divBdr>
    </w:div>
    <w:div w:id="1690984251">
      <w:bodyDiv w:val="1"/>
      <w:marLeft w:val="0"/>
      <w:marRight w:val="0"/>
      <w:marTop w:val="0"/>
      <w:marBottom w:val="0"/>
      <w:divBdr>
        <w:top w:val="none" w:sz="0" w:space="0" w:color="auto"/>
        <w:left w:val="none" w:sz="0" w:space="0" w:color="auto"/>
        <w:bottom w:val="none" w:sz="0" w:space="0" w:color="auto"/>
        <w:right w:val="none" w:sz="0" w:space="0" w:color="auto"/>
      </w:divBdr>
    </w:div>
    <w:div w:id="1713916770">
      <w:bodyDiv w:val="1"/>
      <w:marLeft w:val="0"/>
      <w:marRight w:val="0"/>
      <w:marTop w:val="0"/>
      <w:marBottom w:val="0"/>
      <w:divBdr>
        <w:top w:val="none" w:sz="0" w:space="0" w:color="auto"/>
        <w:left w:val="none" w:sz="0" w:space="0" w:color="auto"/>
        <w:bottom w:val="none" w:sz="0" w:space="0" w:color="auto"/>
        <w:right w:val="none" w:sz="0" w:space="0" w:color="auto"/>
      </w:divBdr>
    </w:div>
    <w:div w:id="1829974166">
      <w:bodyDiv w:val="1"/>
      <w:marLeft w:val="0"/>
      <w:marRight w:val="0"/>
      <w:marTop w:val="0"/>
      <w:marBottom w:val="0"/>
      <w:divBdr>
        <w:top w:val="none" w:sz="0" w:space="0" w:color="auto"/>
        <w:left w:val="none" w:sz="0" w:space="0" w:color="auto"/>
        <w:bottom w:val="none" w:sz="0" w:space="0" w:color="auto"/>
        <w:right w:val="none" w:sz="0" w:space="0" w:color="auto"/>
      </w:divBdr>
    </w:div>
    <w:div w:id="1939674119">
      <w:bodyDiv w:val="1"/>
      <w:marLeft w:val="0"/>
      <w:marRight w:val="0"/>
      <w:marTop w:val="0"/>
      <w:marBottom w:val="0"/>
      <w:divBdr>
        <w:top w:val="none" w:sz="0" w:space="0" w:color="auto"/>
        <w:left w:val="none" w:sz="0" w:space="0" w:color="auto"/>
        <w:bottom w:val="none" w:sz="0" w:space="0" w:color="auto"/>
        <w:right w:val="none" w:sz="0" w:space="0" w:color="auto"/>
      </w:divBdr>
      <w:divsChild>
        <w:div w:id="50732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983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976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17-USC-1496914075-364936160&amp;term_occur=999&amp;term_sr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2B476-A2BC-49BE-8373-2119A1C9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16092</Words>
  <Characters>91730</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Blanke</dc:creator>
  <dc:description/>
  <cp:lastModifiedBy>ruth jebe</cp:lastModifiedBy>
  <cp:revision>2</cp:revision>
  <cp:lastPrinted>2026-06-25T20:20:00Z</cp:lastPrinted>
  <dcterms:created xsi:type="dcterms:W3CDTF">2026-07-08T13:38:00Z</dcterms:created>
  <dcterms:modified xsi:type="dcterms:W3CDTF">2026-07-08T13:38:00Z</dcterms:modified>
  <dc:language>en-US</dc:language>
</cp:coreProperties>
</file>